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4D5" w:rsidRDefault="005B74AD" w:rsidP="00953770">
      <w:pPr>
        <w:pStyle w:val="ListParagraph"/>
        <w:spacing w:after="0" w:line="259" w:lineRule="auto"/>
        <w:ind w:left="-180" w:right="0" w:firstLine="0"/>
        <w:jc w:val="center"/>
      </w:pPr>
      <w:bookmarkStart w:id="0" w:name="_GoBack"/>
      <w:bookmarkEnd w:id="0"/>
      <w:r>
        <w:rPr>
          <w:b/>
          <w:sz w:val="18"/>
        </w:rPr>
        <w:t>Department</w:t>
      </w:r>
      <w:r w:rsidR="00255759" w:rsidRPr="00953770">
        <w:rPr>
          <w:b/>
          <w:sz w:val="18"/>
        </w:rPr>
        <w:t xml:space="preserve"> of Procurement </w:t>
      </w:r>
    </w:p>
    <w:p w:rsidR="001724D5" w:rsidRDefault="00255759">
      <w:pPr>
        <w:spacing w:after="0" w:line="259" w:lineRule="auto"/>
        <w:ind w:left="51" w:right="40"/>
        <w:jc w:val="center"/>
      </w:pPr>
      <w:r>
        <w:rPr>
          <w:b/>
          <w:sz w:val="18"/>
        </w:rPr>
        <w:t xml:space="preserve">45 West Gude Drive, Suite 3100 </w:t>
      </w:r>
    </w:p>
    <w:p w:rsidR="001724D5" w:rsidRDefault="00255759">
      <w:pPr>
        <w:spacing w:after="0" w:line="259" w:lineRule="auto"/>
        <w:ind w:left="51" w:right="36"/>
        <w:jc w:val="center"/>
      </w:pPr>
      <w:r>
        <w:rPr>
          <w:b/>
          <w:sz w:val="18"/>
        </w:rPr>
        <w:t xml:space="preserve">Rockville, MD 20850-9999 </w:t>
      </w:r>
    </w:p>
    <w:p w:rsidR="001724D5" w:rsidRDefault="00255759" w:rsidP="00853EA6">
      <w:pPr>
        <w:pStyle w:val="Heading1"/>
        <w:ind w:left="0" w:hanging="180"/>
      </w:pPr>
      <w:r>
        <w:rPr>
          <w:sz w:val="20"/>
        </w:rPr>
        <w:t xml:space="preserve">General Stipulations and Instructions To </w:t>
      </w:r>
      <w:r w:rsidR="00853EA6">
        <w:rPr>
          <w:sz w:val="20"/>
        </w:rPr>
        <w:t>B</w:t>
      </w:r>
      <w:r>
        <w:rPr>
          <w:sz w:val="20"/>
        </w:rPr>
        <w:t xml:space="preserve">idders </w:t>
      </w:r>
    </w:p>
    <w:p w:rsidR="001724D5" w:rsidRDefault="001724D5">
      <w:pPr>
        <w:sectPr w:rsidR="001724D5">
          <w:pgSz w:w="12240" w:h="15840"/>
          <w:pgMar w:top="728" w:right="4337" w:bottom="374" w:left="3692" w:header="720" w:footer="720" w:gutter="0"/>
          <w:cols w:space="720"/>
        </w:sectPr>
      </w:pPr>
    </w:p>
    <w:p w:rsidR="001724D5" w:rsidRDefault="00255759">
      <w:pPr>
        <w:spacing w:after="0" w:line="259" w:lineRule="auto"/>
        <w:ind w:left="0" w:right="0" w:firstLine="0"/>
        <w:jc w:val="left"/>
      </w:pPr>
      <w:r>
        <w:rPr>
          <w:sz w:val="22"/>
        </w:rPr>
        <w:t xml:space="preserve"> </w:t>
      </w:r>
    </w:p>
    <w:p w:rsidR="001724D5" w:rsidRDefault="00255759">
      <w:pPr>
        <w:spacing w:after="0" w:line="259" w:lineRule="auto"/>
        <w:ind w:left="0" w:right="0" w:firstLine="0"/>
        <w:jc w:val="left"/>
      </w:pPr>
      <w:r>
        <w:rPr>
          <w:sz w:val="22"/>
        </w:rPr>
        <w:t xml:space="preserve"> </w:t>
      </w:r>
    </w:p>
    <w:p w:rsidR="001724D5" w:rsidRDefault="00255759">
      <w:pPr>
        <w:pStyle w:val="Heading2"/>
        <w:tabs>
          <w:tab w:val="center" w:pos="867"/>
          <w:tab w:val="center" w:pos="1869"/>
        </w:tabs>
        <w:spacing w:after="8"/>
        <w:ind w:left="0" w:firstLine="0"/>
        <w:jc w:val="left"/>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Invitation </w:t>
      </w:r>
      <w:proofErr w:type="gramStart"/>
      <w:r>
        <w:t>For</w:t>
      </w:r>
      <w:proofErr w:type="gramEnd"/>
      <w:r>
        <w:t xml:space="preserve"> Bid </w:t>
      </w:r>
    </w:p>
    <w:p w:rsidR="001724D5" w:rsidRDefault="00255759">
      <w:pPr>
        <w:spacing w:line="259" w:lineRule="auto"/>
        <w:ind w:left="0" w:right="0" w:firstLine="0"/>
        <w:jc w:val="left"/>
      </w:pPr>
      <w:r>
        <w:rPr>
          <w:b/>
          <w:sz w:val="19"/>
        </w:rPr>
        <w:t xml:space="preserve"> </w:t>
      </w:r>
    </w:p>
    <w:p w:rsidR="001724D5" w:rsidRDefault="00255759">
      <w:pPr>
        <w:ind w:left="943"/>
      </w:pPr>
      <w:r>
        <w:t xml:space="preserve">The Board of Education of Montgomery County Maryland, </w:t>
      </w:r>
      <w:proofErr w:type="gramStart"/>
      <w:r>
        <w:t xml:space="preserve">herein </w:t>
      </w:r>
      <w:r>
        <w:rPr>
          <w:sz w:val="21"/>
        </w:rPr>
        <w:t xml:space="preserve"> </w:t>
      </w:r>
      <w:r>
        <w:t>after</w:t>
      </w:r>
      <w:proofErr w:type="gramEnd"/>
      <w:r>
        <w:t xml:space="preserve"> referred to as The Board of Education, will receive sealed proposals until the date and time indicated on the cover of the Invitation For Bid. Bids must be delivered to the </w:t>
      </w:r>
      <w:r w:rsidR="005B74AD">
        <w:t>Department</w:t>
      </w:r>
      <w:r>
        <w:t xml:space="preserve"> of Procurement at the above address where it will be opened and publicly read at the stated time. Bids must be delivered in sealed opaque envelopes. Envelopes shall be clearly marked on the outside lower left corner with the bid number and bid opening date and time. </w:t>
      </w:r>
    </w:p>
    <w:p w:rsidR="001724D5" w:rsidRDefault="00255759">
      <w:pPr>
        <w:spacing w:after="0" w:line="259" w:lineRule="auto"/>
        <w:ind w:left="0" w:right="0" w:firstLine="0"/>
        <w:jc w:val="left"/>
      </w:pPr>
      <w:r>
        <w:rPr>
          <w:sz w:val="18"/>
        </w:rPr>
        <w:t xml:space="preserve"> </w:t>
      </w:r>
    </w:p>
    <w:p w:rsidR="001724D5" w:rsidRDefault="00255759">
      <w:pPr>
        <w:pStyle w:val="Heading2"/>
        <w:spacing w:after="8"/>
        <w:ind w:left="807" w:right="835"/>
      </w:pPr>
      <w:r>
        <w:t>II.</w:t>
      </w:r>
      <w:r>
        <w:rPr>
          <w:rFonts w:ascii="Arial" w:eastAsia="Arial" w:hAnsi="Arial" w:cs="Arial"/>
        </w:rPr>
        <w:t xml:space="preserve"> </w:t>
      </w:r>
      <w:r>
        <w:t xml:space="preserve">Intent </w:t>
      </w:r>
    </w:p>
    <w:p w:rsidR="001724D5" w:rsidRDefault="00255759">
      <w:pPr>
        <w:spacing w:after="0" w:line="259" w:lineRule="auto"/>
        <w:ind w:left="0" w:right="0" w:firstLine="0"/>
        <w:jc w:val="left"/>
      </w:pPr>
      <w:r>
        <w:rPr>
          <w:b/>
          <w:sz w:val="19"/>
        </w:rPr>
        <w:t xml:space="preserve"> </w:t>
      </w:r>
    </w:p>
    <w:p w:rsidR="001724D5" w:rsidRDefault="00255759">
      <w:pPr>
        <w:ind w:left="943" w:right="98"/>
      </w:pPr>
      <w:r>
        <w:t xml:space="preserve">These specifications are intended to cover the furnishing and delivery of said materials, supplies, or services as hereinafter shown to any or to each of the various public schools, offices, or to any designated warehouse or warehouses in Montgomery County, Maryland, whichever is specified, in quantities to be determined subsequent to the bid opening. </w:t>
      </w:r>
    </w:p>
    <w:p w:rsidR="001724D5" w:rsidRDefault="00255759">
      <w:pPr>
        <w:spacing w:after="0" w:line="259" w:lineRule="auto"/>
        <w:ind w:left="0" w:right="0" w:firstLine="0"/>
        <w:jc w:val="left"/>
      </w:pPr>
      <w:r>
        <w:rPr>
          <w:sz w:val="18"/>
        </w:rPr>
        <w:t xml:space="preserve"> </w:t>
      </w:r>
    </w:p>
    <w:p w:rsidR="001724D5" w:rsidRDefault="00255759">
      <w:pPr>
        <w:pStyle w:val="Heading2"/>
        <w:tabs>
          <w:tab w:val="center" w:pos="1065"/>
          <w:tab w:val="center" w:pos="2612"/>
          <w:tab w:val="center" w:pos="5300"/>
        </w:tabs>
        <w:ind w:left="0" w:firstLine="0"/>
        <w:jc w:val="left"/>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Right </w:t>
      </w:r>
      <w:proofErr w:type="gramStart"/>
      <w:r>
        <w:t>To</w:t>
      </w:r>
      <w:proofErr w:type="gramEnd"/>
      <w:r>
        <w:t xml:space="preserve"> Cancel Or Reject Bids </w:t>
      </w:r>
      <w:r>
        <w:tab/>
      </w:r>
      <w:r>
        <w:rPr>
          <w:b w:val="0"/>
          <w:sz w:val="16"/>
        </w:rPr>
        <w:t xml:space="preserve"> </w:t>
      </w:r>
    </w:p>
    <w:p w:rsidR="001724D5" w:rsidRDefault="00255759">
      <w:pPr>
        <w:numPr>
          <w:ilvl w:val="0"/>
          <w:numId w:val="1"/>
        </w:numPr>
        <w:spacing w:after="87"/>
        <w:ind w:hanging="360"/>
      </w:pPr>
      <w:r>
        <w:t xml:space="preserve">The Board of Education reserves the right to cancel any </w:t>
      </w:r>
      <w:r>
        <w:rPr>
          <w:b/>
          <w:sz w:val="15"/>
        </w:rPr>
        <w:t xml:space="preserve"> </w:t>
      </w:r>
      <w:r>
        <w:t xml:space="preserve">contract if, in its opinion, there is a failure at any time to perform adequately the stipulations of this Invitation For Bid, or if the general conditions and specifications which are attached and made part of this bid are not fulfilled, or if in any case there is any attempt to willfully impose upon the Board of Education materials or products or workmanship which are in the opinion of the Board of Education of an unacceptable quality. Any action taken in pursuance of this latter stipulation shall not affect or impair any rights or claims of the Board of Education to damages for the breach of any covenants of </w:t>
      </w:r>
      <w:proofErr w:type="gramStart"/>
      <w:r>
        <w:t xml:space="preserve">the </w:t>
      </w:r>
      <w:r>
        <w:rPr>
          <w:sz w:val="15"/>
        </w:rPr>
        <w:t xml:space="preserve"> </w:t>
      </w:r>
      <w:r>
        <w:t>contract</w:t>
      </w:r>
      <w:proofErr w:type="gramEnd"/>
      <w:r>
        <w:t xml:space="preserve"> by the contractor. The Board of Education also reserves the right to reject the bid of any bidder who has previously failed to perform adequately after having once been awarded a prior bid for furnishing materials or services similar in nature to those mentioned in this bid. </w:t>
      </w:r>
    </w:p>
    <w:p w:rsidR="001724D5" w:rsidRDefault="00255759">
      <w:pPr>
        <w:numPr>
          <w:ilvl w:val="0"/>
          <w:numId w:val="1"/>
        </w:numPr>
        <w:spacing w:after="62"/>
        <w:ind w:hanging="360"/>
      </w:pPr>
      <w:r>
        <w:t xml:space="preserve">The Board of Education reserves the right to reject any or all bids in whole or in part; to make partial awards; to waive any  irregularity in any quotation; to increase or decrease quantities if quantities are listed in the bid; to reject any bid that shows any omissions, alterations of form, and additions, conditions, or alternate proposals not called for; and to make any such award as is deemed to be in the best interests of the Board of </w:t>
      </w:r>
    </w:p>
    <w:p w:rsidR="001724D5" w:rsidRDefault="00255759">
      <w:pPr>
        <w:tabs>
          <w:tab w:val="center" w:pos="1646"/>
          <w:tab w:val="center" w:pos="5300"/>
        </w:tabs>
        <w:spacing w:after="3" w:line="259" w:lineRule="auto"/>
        <w:ind w:left="0" w:right="0" w:firstLine="0"/>
        <w:jc w:val="left"/>
      </w:pPr>
      <w:r>
        <w:rPr>
          <w:rFonts w:ascii="Calibri" w:eastAsia="Calibri" w:hAnsi="Calibri" w:cs="Calibri"/>
          <w:sz w:val="22"/>
        </w:rPr>
        <w:tab/>
      </w:r>
      <w:r>
        <w:t xml:space="preserve">Education. </w:t>
      </w:r>
      <w:r>
        <w:tab/>
      </w:r>
      <w:r>
        <w:rPr>
          <w:sz w:val="24"/>
        </w:rPr>
        <w:t xml:space="preserve"> </w:t>
      </w:r>
    </w:p>
    <w:p w:rsidR="001724D5" w:rsidRDefault="00255759">
      <w:pPr>
        <w:numPr>
          <w:ilvl w:val="0"/>
          <w:numId w:val="1"/>
        </w:numPr>
        <w:ind w:hanging="360"/>
      </w:pPr>
      <w:r>
        <w:t xml:space="preserve">All items furnished must be completely new and free from defects. No others will be accepted under the terms and intent of this bid. </w:t>
      </w:r>
    </w:p>
    <w:p w:rsidR="001724D5" w:rsidRDefault="00255759">
      <w:pPr>
        <w:spacing w:after="3" w:line="259" w:lineRule="auto"/>
        <w:ind w:left="0" w:right="0" w:firstLine="0"/>
        <w:jc w:val="left"/>
      </w:pPr>
      <w:r>
        <w:t xml:space="preserve"> </w:t>
      </w:r>
    </w:p>
    <w:p w:rsidR="001724D5" w:rsidRDefault="00255759">
      <w:pPr>
        <w:pStyle w:val="Heading2"/>
        <w:spacing w:after="250"/>
        <w:ind w:left="807" w:right="835"/>
      </w:pPr>
      <w:r>
        <w:t>IV.</w:t>
      </w:r>
      <w:r>
        <w:rPr>
          <w:rFonts w:ascii="Arial" w:eastAsia="Arial" w:hAnsi="Arial" w:cs="Arial"/>
        </w:rPr>
        <w:t xml:space="preserve"> </w:t>
      </w:r>
      <w:r>
        <w:t xml:space="preserve">Right </w:t>
      </w:r>
      <w:proofErr w:type="gramStart"/>
      <w:r>
        <w:t>To</w:t>
      </w:r>
      <w:proofErr w:type="gramEnd"/>
      <w:r>
        <w:t xml:space="preserve"> Purchase In The Open Market </w:t>
      </w:r>
    </w:p>
    <w:p w:rsidR="001724D5" w:rsidRDefault="00255759">
      <w:pPr>
        <w:ind w:left="943" w:right="99"/>
      </w:pPr>
      <w:r>
        <w:t xml:space="preserve">Should the contractor fail to comply with the conditions of this </w:t>
      </w:r>
      <w:r>
        <w:rPr>
          <w:sz w:val="18"/>
        </w:rPr>
        <w:t xml:space="preserve"> </w:t>
      </w:r>
      <w:r>
        <w:rPr>
          <w:sz w:val="21"/>
          <w:vertAlign w:val="subscript"/>
        </w:rPr>
        <w:t xml:space="preserve"> </w:t>
      </w:r>
      <w:r>
        <w:t xml:space="preserve">contract or fail to complete the required work within the time stipulated in the contract, The Board of Education reserves the right to purchase in the open market, or to complete the required work, at the expense of the contractor or by recourse to provisions of the faithful performance bond if such bond is required under the conditions of the bid. </w:t>
      </w:r>
    </w:p>
    <w:p w:rsidR="001724D5" w:rsidRDefault="00255759">
      <w:pPr>
        <w:spacing w:after="0" w:line="259" w:lineRule="auto"/>
        <w:ind w:left="0" w:right="0" w:firstLine="0"/>
        <w:jc w:val="left"/>
      </w:pPr>
      <w:r>
        <w:rPr>
          <w:sz w:val="18"/>
        </w:rPr>
        <w:t xml:space="preserve"> </w:t>
      </w:r>
    </w:p>
    <w:p w:rsidR="001724D5" w:rsidRDefault="00255759">
      <w:pPr>
        <w:spacing w:after="3" w:line="259" w:lineRule="auto"/>
        <w:ind w:left="0" w:right="0" w:firstLine="0"/>
        <w:jc w:val="left"/>
      </w:pPr>
      <w:r>
        <w:t xml:space="preserve"> </w:t>
      </w:r>
    </w:p>
    <w:p w:rsidR="001724D5" w:rsidRDefault="00255759">
      <w:pPr>
        <w:pStyle w:val="Heading2"/>
        <w:ind w:left="807" w:right="835"/>
      </w:pPr>
      <w:r>
        <w:t>V.</w:t>
      </w:r>
      <w:r>
        <w:rPr>
          <w:rFonts w:ascii="Arial" w:eastAsia="Arial" w:hAnsi="Arial" w:cs="Arial"/>
        </w:rPr>
        <w:t xml:space="preserve"> </w:t>
      </w:r>
      <w:r>
        <w:t xml:space="preserve">Failure </w:t>
      </w:r>
      <w:proofErr w:type="gramStart"/>
      <w:r>
        <w:t>To</w:t>
      </w:r>
      <w:proofErr w:type="gramEnd"/>
      <w:r>
        <w:t xml:space="preserve"> Furnish Item(s) </w:t>
      </w:r>
    </w:p>
    <w:p w:rsidR="001724D5" w:rsidRDefault="00255759">
      <w:pPr>
        <w:ind w:left="943" w:right="102"/>
      </w:pPr>
      <w:r>
        <w:t xml:space="preserve">Should the contractor fail to furnish any item or items, or to complete the required work included in this contract, The Board of Education reserves the right to withdraw such items or required work from the operation of this contract without incurring further liabilities on the part of the Board of Education.  </w:t>
      </w:r>
    </w:p>
    <w:p w:rsidR="001724D5" w:rsidRDefault="00255759">
      <w:pPr>
        <w:spacing w:after="3" w:line="259" w:lineRule="auto"/>
        <w:ind w:left="0" w:right="0" w:firstLine="0"/>
        <w:jc w:val="left"/>
      </w:pPr>
      <w:r>
        <w:t xml:space="preserve"> </w:t>
      </w:r>
    </w:p>
    <w:p w:rsidR="001724D5" w:rsidRDefault="00255759">
      <w:pPr>
        <w:pStyle w:val="Heading2"/>
        <w:ind w:left="550" w:right="835"/>
      </w:pPr>
      <w:r>
        <w:t>VI.</w:t>
      </w:r>
      <w:r>
        <w:rPr>
          <w:rFonts w:ascii="Arial" w:eastAsia="Arial" w:hAnsi="Arial" w:cs="Arial"/>
        </w:rPr>
        <w:t xml:space="preserve"> </w:t>
      </w:r>
      <w:r>
        <w:t xml:space="preserve">Employer Information Report EEO-1 </w:t>
      </w:r>
    </w:p>
    <w:p w:rsidR="001724D5" w:rsidRDefault="00255759">
      <w:pPr>
        <w:spacing w:after="240"/>
        <w:ind w:left="53" w:right="772"/>
      </w:pPr>
      <w:r>
        <w:t xml:space="preserve">The Board of Education requires that each successful bidder be liable for compliance with the provisions of Title VII of the Civil </w:t>
      </w:r>
    </w:p>
    <w:p w:rsidR="001724D5" w:rsidRDefault="00255759">
      <w:pPr>
        <w:spacing w:after="84"/>
        <w:ind w:left="10" w:right="1136"/>
      </w:pPr>
      <w:r>
        <w:t xml:space="preserve">Rights Act of 1964. In order to fully comply with Title VII, a company must file Employer Information Report EEO-1 with the Joint Report Committee, 1800 G Street, NW, Washington, D.C. 20036. Only companies that fall within the following categories are required to file the Employer Information Report EEO-1: </w:t>
      </w:r>
    </w:p>
    <w:p w:rsidR="001724D5" w:rsidRDefault="00255759">
      <w:pPr>
        <w:spacing w:after="202"/>
        <w:ind w:left="10" w:right="1136"/>
      </w:pPr>
      <w:r>
        <w:t xml:space="preserve">The entire company has at least 100 employees on the payroll. The company is affiliated through centralized ownership and/or centralized management, and the group legally constitutes a single enterprise employing a total of 100 or more employees. If your company has already filed an EEO-1 by virtue of supplying materials or services under Federal Government Contracts, it is necessary to submit only a copy of your most recent EEO-1 report to the </w:t>
      </w:r>
      <w:r w:rsidR="005B74AD">
        <w:t>Department</w:t>
      </w:r>
      <w:r>
        <w:t xml:space="preserve"> of Procurement. If you are filing a report for the first time, send a copy of EEO-1 to the </w:t>
      </w:r>
      <w:r w:rsidR="005B74AD">
        <w:t>Department</w:t>
      </w:r>
      <w:r>
        <w:t xml:space="preserve"> of Procurement. Please note that purchase orders will not be issued to companies that fall into the above categories until proof of EEO-1 reporting has been received. </w:t>
      </w:r>
    </w:p>
    <w:p w:rsidR="001724D5" w:rsidRDefault="00255759">
      <w:pPr>
        <w:pStyle w:val="Heading2"/>
        <w:ind w:left="10" w:right="835"/>
      </w:pPr>
      <w:r>
        <w:t>VII.</w:t>
      </w:r>
      <w:r>
        <w:rPr>
          <w:rFonts w:ascii="Arial" w:eastAsia="Arial" w:hAnsi="Arial" w:cs="Arial"/>
        </w:rPr>
        <w:t xml:space="preserve"> </w:t>
      </w:r>
      <w:r>
        <w:t xml:space="preserve">Preparation </w:t>
      </w:r>
      <w:proofErr w:type="gramStart"/>
      <w:r>
        <w:t>Of</w:t>
      </w:r>
      <w:proofErr w:type="gramEnd"/>
      <w:r>
        <w:t xml:space="preserve"> Bid </w:t>
      </w:r>
    </w:p>
    <w:p w:rsidR="001724D5" w:rsidRDefault="00255759">
      <w:pPr>
        <w:spacing w:after="176"/>
        <w:ind w:left="10" w:right="1136"/>
      </w:pPr>
      <w:r>
        <w:t xml:space="preserve">Bids must be submitted on the copy provided. Bidders may wish to reproduce and retain one copy for its files. Bids must be signed by an authorized representative of the company submitting a bid. It is the intent of this solicitation that should a given bid be accepted, it will automatically become the contract. Notification of the bid award will be made by letter. Bidders shall submit its bids and specifications on the appropriate specification sheets that show the schedule of items to be purchased. Bidders may attach a letter of explanation to its bid if it so desire. </w:t>
      </w:r>
    </w:p>
    <w:p w:rsidR="001724D5" w:rsidRDefault="00255759">
      <w:pPr>
        <w:spacing w:after="202"/>
        <w:ind w:left="10" w:right="1136"/>
      </w:pPr>
      <w:r>
        <w:t xml:space="preserve">Prices quoted shall not exceed the prices established under any governmental price control regulations. Bidders will be required if requested by The Board of Education, to furnish satisfactory evidence that they are qualified as manufacturers or dealers in the items listed and have a regularly established place of business. An inspection of any bidder’s place of business may be made to determine the bidder’s ability to perform. </w:t>
      </w:r>
    </w:p>
    <w:p w:rsidR="001724D5" w:rsidRDefault="00255759">
      <w:pPr>
        <w:pStyle w:val="Heading2"/>
        <w:ind w:left="10" w:right="835"/>
      </w:pPr>
      <w:r>
        <w:t>VIII.</w:t>
      </w:r>
      <w:r>
        <w:rPr>
          <w:rFonts w:ascii="Arial" w:eastAsia="Arial" w:hAnsi="Arial" w:cs="Arial"/>
        </w:rPr>
        <w:t xml:space="preserve"> </w:t>
      </w:r>
      <w:r>
        <w:t xml:space="preserve">Discounts </w:t>
      </w:r>
    </w:p>
    <w:p w:rsidR="001724D5" w:rsidRDefault="00255759">
      <w:pPr>
        <w:spacing w:after="269"/>
        <w:ind w:left="10" w:right="1136"/>
      </w:pPr>
      <w:r>
        <w:t xml:space="preserve">The Board of Education reserves the right to consider discounts in computing the bid. </w:t>
      </w:r>
    </w:p>
    <w:p w:rsidR="001724D5" w:rsidRDefault="00255759">
      <w:pPr>
        <w:pStyle w:val="Heading3"/>
        <w:tabs>
          <w:tab w:val="center" w:pos="1014"/>
        </w:tabs>
        <w:ind w:left="0" w:firstLine="0"/>
      </w:pPr>
      <w:r>
        <w:t>A.</w:t>
      </w:r>
      <w:r>
        <w:rPr>
          <w:rFonts w:ascii="Arial" w:eastAsia="Arial" w:hAnsi="Arial" w:cs="Arial"/>
        </w:rPr>
        <w:t xml:space="preserve"> </w:t>
      </w:r>
      <w:r>
        <w:rPr>
          <w:rFonts w:ascii="Arial" w:eastAsia="Arial" w:hAnsi="Arial" w:cs="Arial"/>
        </w:rPr>
        <w:tab/>
      </w:r>
      <w:r>
        <w:t xml:space="preserve">Trade Discounts </w:t>
      </w:r>
    </w:p>
    <w:p w:rsidR="001724D5" w:rsidRDefault="00255759">
      <w:pPr>
        <w:spacing w:after="361"/>
        <w:ind w:left="462" w:right="1136"/>
      </w:pPr>
      <w:r>
        <w:t xml:space="preserve">All prices offered must be the lowest net price after trade discounts have been considered. Bids offering a percentage off list prices will not be accepted unless: (1) specifically requested in that manner; (2) two copies of the referenced price list accompany the bid. </w:t>
      </w:r>
    </w:p>
    <w:p w:rsidR="001724D5" w:rsidRDefault="00255759">
      <w:pPr>
        <w:pStyle w:val="Heading3"/>
        <w:tabs>
          <w:tab w:val="center" w:pos="1107"/>
        </w:tabs>
        <w:ind w:left="0" w:firstLine="0"/>
      </w:pPr>
      <w:r>
        <w:t>B.</w:t>
      </w:r>
      <w:r>
        <w:rPr>
          <w:rFonts w:ascii="Arial" w:eastAsia="Arial" w:hAnsi="Arial" w:cs="Arial"/>
        </w:rPr>
        <w:t xml:space="preserve"> </w:t>
      </w:r>
      <w:r>
        <w:rPr>
          <w:rFonts w:ascii="Arial" w:eastAsia="Arial" w:hAnsi="Arial" w:cs="Arial"/>
        </w:rPr>
        <w:tab/>
      </w:r>
      <w:r>
        <w:t xml:space="preserve">Payment Discounts </w:t>
      </w:r>
    </w:p>
    <w:p w:rsidR="001724D5" w:rsidRDefault="00255759">
      <w:pPr>
        <w:ind w:left="462" w:right="1136"/>
      </w:pPr>
      <w:r>
        <w:t xml:space="preserve">Prompt payment discounts are solicited and will be treated as follows: </w:t>
      </w:r>
    </w:p>
    <w:p w:rsidR="001724D5" w:rsidRDefault="00255759">
      <w:pPr>
        <w:numPr>
          <w:ilvl w:val="0"/>
          <w:numId w:val="2"/>
        </w:numPr>
        <w:ind w:right="1136"/>
      </w:pPr>
      <w:r>
        <w:t xml:space="preserve">Unless specifically stated otherwise, discounts offered which allow a minimum of twenty (20) days to qualify will be deducted from prices offered in the bid for the purpose of determining the lowest price offered. </w:t>
      </w:r>
    </w:p>
    <w:p w:rsidR="001724D5" w:rsidRDefault="00255759">
      <w:pPr>
        <w:numPr>
          <w:ilvl w:val="0"/>
          <w:numId w:val="2"/>
        </w:numPr>
        <w:ind w:right="1136"/>
      </w:pPr>
      <w:r>
        <w:t xml:space="preserve">Discounts offering less than twenty (20) calendar days will not be deducted from price offered for the purpose of determining the lowest price, but will be taken if payment is made within the discount period. </w:t>
      </w:r>
    </w:p>
    <w:p w:rsidR="001724D5" w:rsidRDefault="00255759">
      <w:pPr>
        <w:spacing w:after="0" w:line="259" w:lineRule="auto"/>
        <w:ind w:left="442" w:right="0" w:firstLine="0"/>
        <w:jc w:val="left"/>
      </w:pPr>
      <w:r>
        <w:t xml:space="preserve"> </w:t>
      </w:r>
    </w:p>
    <w:p w:rsidR="001724D5" w:rsidRDefault="00255759">
      <w:pPr>
        <w:spacing w:after="0" w:line="259" w:lineRule="auto"/>
        <w:ind w:left="442" w:right="0" w:firstLine="0"/>
        <w:jc w:val="left"/>
      </w:pPr>
      <w:r>
        <w:t xml:space="preserve"> </w:t>
      </w:r>
    </w:p>
    <w:p w:rsidR="001724D5" w:rsidRDefault="00255759">
      <w:pPr>
        <w:spacing w:after="205" w:line="259" w:lineRule="auto"/>
        <w:ind w:left="442" w:right="0" w:firstLine="0"/>
        <w:jc w:val="left"/>
      </w:pPr>
      <w:r>
        <w:lastRenderedPageBreak/>
        <w:t xml:space="preserve"> </w:t>
      </w:r>
    </w:p>
    <w:p w:rsidR="001724D5" w:rsidRDefault="00255759">
      <w:pPr>
        <w:pStyle w:val="Heading2"/>
        <w:ind w:left="10" w:right="835"/>
      </w:pPr>
      <w:r>
        <w:t>IX.</w:t>
      </w:r>
      <w:r>
        <w:rPr>
          <w:rFonts w:ascii="Arial" w:eastAsia="Arial" w:hAnsi="Arial" w:cs="Arial"/>
        </w:rPr>
        <w:t xml:space="preserve"> </w:t>
      </w:r>
      <w:r>
        <w:t xml:space="preserve">“Or Equal” Interpretation </w:t>
      </w:r>
    </w:p>
    <w:p w:rsidR="001724D5" w:rsidRDefault="00255759">
      <w:pPr>
        <w:ind w:left="943" w:right="1136"/>
      </w:pPr>
      <w:r>
        <w:t xml:space="preserve">Unless the specifications and/or conditions state a </w:t>
      </w:r>
    </w:p>
    <w:p w:rsidR="001724D5" w:rsidRDefault="00255759">
      <w:pPr>
        <w:tabs>
          <w:tab w:val="center" w:pos="2611"/>
          <w:tab w:val="center" w:pos="5300"/>
        </w:tabs>
        <w:ind w:left="0" w:right="0" w:firstLine="0"/>
        <w:jc w:val="left"/>
      </w:pPr>
      <w:r>
        <w:rPr>
          <w:rFonts w:ascii="Calibri" w:eastAsia="Calibri" w:hAnsi="Calibri" w:cs="Calibri"/>
          <w:sz w:val="22"/>
        </w:rPr>
        <w:tab/>
      </w:r>
      <w:r>
        <w:t xml:space="preserve">specific brand and substitutions will not be </w:t>
      </w:r>
      <w:r>
        <w:tab/>
        <w:t xml:space="preserve"> </w:t>
      </w:r>
    </w:p>
    <w:p w:rsidR="001724D5" w:rsidRDefault="00255759">
      <w:pPr>
        <w:spacing w:after="72"/>
        <w:ind w:left="943" w:right="1136"/>
      </w:pPr>
      <w:r>
        <w:t xml:space="preserve">considered, the Board of Education will consider other brands or the product of other manufacturers as long as the product meets the same specifications, standards, and quality of the material being solicited through the bid. On all such bids the bidder shall indicate clearly the product on which it is bidding and shall supply sufficient data on its own letterhead to enable an intelligent comparison to be made with the particular brand or manufacturer specified. </w:t>
      </w:r>
    </w:p>
    <w:p w:rsidR="001724D5" w:rsidRDefault="00255759">
      <w:pPr>
        <w:ind w:left="943" w:right="1136"/>
      </w:pPr>
      <w:r>
        <w:t xml:space="preserve">Whenever the specifications indicate a product of a particular manufacturer, model, or brand and in the absence of any written statement to the contrary by the bidder, the bid will be interpreted as being for the exact brand, model, or manufacturer specified, </w:t>
      </w:r>
    </w:p>
    <w:p w:rsidR="001724D5" w:rsidRDefault="00255759">
      <w:pPr>
        <w:ind w:left="943" w:right="1136"/>
      </w:pPr>
      <w:r>
        <w:t xml:space="preserve">together with all accessories enumerated in the </w:t>
      </w:r>
      <w:r>
        <w:tab/>
        <w:t xml:space="preserve"> specifications. </w:t>
      </w:r>
    </w:p>
    <w:p w:rsidR="001724D5" w:rsidRDefault="00255759">
      <w:pPr>
        <w:spacing w:after="3" w:line="259" w:lineRule="auto"/>
        <w:ind w:left="0" w:right="0" w:firstLine="0"/>
        <w:jc w:val="left"/>
      </w:pPr>
      <w:r>
        <w:t xml:space="preserve"> </w:t>
      </w:r>
    </w:p>
    <w:p w:rsidR="001724D5" w:rsidRDefault="00255759">
      <w:pPr>
        <w:pStyle w:val="Heading2"/>
        <w:ind w:left="951" w:right="835"/>
      </w:pPr>
      <w:r>
        <w:t>X.</w:t>
      </w:r>
      <w:r>
        <w:rPr>
          <w:rFonts w:ascii="Arial" w:eastAsia="Arial" w:hAnsi="Arial" w:cs="Arial"/>
        </w:rPr>
        <w:t xml:space="preserve"> </w:t>
      </w:r>
      <w:r>
        <w:t xml:space="preserve">Consideration of Prior Service </w:t>
      </w:r>
    </w:p>
    <w:p w:rsidR="001724D5" w:rsidRDefault="00255759">
      <w:pPr>
        <w:ind w:left="943" w:right="88"/>
      </w:pPr>
      <w:r>
        <w:t xml:space="preserve">Awards on this bid will be made after consideration has been given to any previous performance for The Board of Education as to quality of service and/or merchandise and with regard to the bidder’s ability to perform should it be awarded the bid. </w:t>
      </w:r>
    </w:p>
    <w:p w:rsidR="001724D5" w:rsidRDefault="00255759">
      <w:pPr>
        <w:spacing w:after="5" w:line="259" w:lineRule="auto"/>
        <w:ind w:left="0" w:right="0" w:firstLine="0"/>
        <w:jc w:val="left"/>
      </w:pPr>
      <w:r>
        <w:t xml:space="preserve"> </w:t>
      </w:r>
    </w:p>
    <w:p w:rsidR="001724D5" w:rsidRDefault="00255759">
      <w:pPr>
        <w:pStyle w:val="Heading2"/>
        <w:ind w:left="951" w:right="835"/>
      </w:pPr>
      <w:r>
        <w:t>XI.</w:t>
      </w:r>
      <w:r>
        <w:rPr>
          <w:rFonts w:ascii="Arial" w:eastAsia="Arial" w:hAnsi="Arial" w:cs="Arial"/>
        </w:rPr>
        <w:t xml:space="preserve"> </w:t>
      </w:r>
      <w:r>
        <w:t xml:space="preserve">Delivery </w:t>
      </w:r>
    </w:p>
    <w:p w:rsidR="001724D5" w:rsidRDefault="00255759">
      <w:pPr>
        <w:ind w:left="943" w:right="84"/>
      </w:pPr>
      <w:r>
        <w:t xml:space="preserve">The bidder agrees to furnish and deliver during the period of the contract the items and articles which may be awarded to the bidder in such amounts and quantities within the terms of the contract. </w:t>
      </w:r>
      <w:r>
        <w:rPr>
          <w:b/>
        </w:rPr>
        <w:t xml:space="preserve">All Deliveries Must Be Prepaid FOB Destination, And </w:t>
      </w:r>
      <w:proofErr w:type="gramStart"/>
      <w:r>
        <w:rPr>
          <w:b/>
        </w:rPr>
        <w:t>In</w:t>
      </w:r>
      <w:proofErr w:type="gramEnd"/>
      <w:r>
        <w:rPr>
          <w:b/>
        </w:rPr>
        <w:t xml:space="preserve"> No Case Will Shipments Collect Or Sidewalk Deliveries Be Accepted. </w:t>
      </w:r>
      <w:r>
        <w:t xml:space="preserve">Bidders shall uncrate, completely assemble, and set in designated place all equipment and furniture. All delivery cost shall be </w:t>
      </w:r>
      <w:proofErr w:type="gramStart"/>
      <w:r>
        <w:t>included  in</w:t>
      </w:r>
      <w:proofErr w:type="gramEnd"/>
      <w:r>
        <w:t xml:space="preserve"> the bid unit price. </w:t>
      </w:r>
    </w:p>
    <w:p w:rsidR="001724D5" w:rsidRDefault="00255759">
      <w:pPr>
        <w:spacing w:after="3" w:line="259" w:lineRule="auto"/>
        <w:ind w:left="0" w:right="0" w:firstLine="0"/>
        <w:jc w:val="left"/>
      </w:pPr>
      <w:r>
        <w:t xml:space="preserve"> </w:t>
      </w:r>
    </w:p>
    <w:p w:rsidR="001724D5" w:rsidRDefault="00255759">
      <w:pPr>
        <w:pStyle w:val="Heading2"/>
        <w:ind w:left="951" w:right="835"/>
      </w:pPr>
      <w:r>
        <w:t>XII.</w:t>
      </w:r>
      <w:r>
        <w:rPr>
          <w:rFonts w:ascii="Arial" w:eastAsia="Arial" w:hAnsi="Arial" w:cs="Arial"/>
        </w:rPr>
        <w:t xml:space="preserve"> </w:t>
      </w:r>
      <w:r>
        <w:t xml:space="preserve">Packing Slips </w:t>
      </w:r>
      <w:proofErr w:type="gramStart"/>
      <w:r>
        <w:t>And</w:t>
      </w:r>
      <w:proofErr w:type="gramEnd"/>
      <w:r>
        <w:t xml:space="preserve"> Delivery Tickets </w:t>
      </w:r>
    </w:p>
    <w:p w:rsidR="001724D5" w:rsidRDefault="00255759">
      <w:pPr>
        <w:ind w:left="943" w:right="85"/>
      </w:pPr>
      <w:r>
        <w:t xml:space="preserve">All materials delivered on this contract shall be packed in a substantial manner in accordance with accepted trade practices. No charges may be made over and above the bid price for packaging or for deposits on containers. All deliveries shall be accompanied </w:t>
      </w:r>
      <w:proofErr w:type="gramStart"/>
      <w:r>
        <w:t>by  delivery</w:t>
      </w:r>
      <w:proofErr w:type="gramEnd"/>
      <w:r>
        <w:t xml:space="preserve"> tickets or packing slips. Tickets shall contain the following information for each item delivered: the quantity, bid number, and the name of the contractor. </w:t>
      </w:r>
    </w:p>
    <w:p w:rsidR="001724D5" w:rsidRDefault="00255759">
      <w:pPr>
        <w:spacing w:after="3" w:line="259" w:lineRule="auto"/>
        <w:ind w:left="0" w:right="0" w:firstLine="0"/>
        <w:jc w:val="left"/>
      </w:pPr>
      <w:r>
        <w:t xml:space="preserve"> </w:t>
      </w:r>
    </w:p>
    <w:p w:rsidR="001724D5" w:rsidRDefault="00255759">
      <w:pPr>
        <w:pStyle w:val="Heading2"/>
        <w:ind w:left="951" w:right="835"/>
      </w:pPr>
      <w:r>
        <w:t>XIII.</w:t>
      </w:r>
      <w:r>
        <w:rPr>
          <w:rFonts w:ascii="Arial" w:eastAsia="Arial" w:hAnsi="Arial" w:cs="Arial"/>
        </w:rPr>
        <w:t xml:space="preserve"> </w:t>
      </w:r>
      <w:r>
        <w:t xml:space="preserve">Invoices </w:t>
      </w:r>
    </w:p>
    <w:p w:rsidR="001724D5" w:rsidRDefault="00255759">
      <w:pPr>
        <w:spacing w:after="0" w:line="239" w:lineRule="auto"/>
        <w:ind w:left="941" w:right="304" w:firstLine="0"/>
        <w:jc w:val="left"/>
      </w:pPr>
      <w:r>
        <w:t xml:space="preserve">Payment depends on receipt of a proper invoice and satisfactory </w:t>
      </w:r>
      <w:r>
        <w:tab/>
      </w:r>
      <w:r>
        <w:rPr>
          <w:sz w:val="15"/>
        </w:rPr>
        <w:t xml:space="preserve"> </w:t>
      </w:r>
      <w:r>
        <w:t xml:space="preserve">contract performance. All invoices are to be transmitted to the </w:t>
      </w:r>
      <w:r w:rsidR="005B74AD">
        <w:t>Department</w:t>
      </w:r>
      <w:r>
        <w:t xml:space="preserve"> of Controller at: </w:t>
      </w:r>
      <w:r w:rsidR="005B74AD">
        <w:t>Department</w:t>
      </w:r>
      <w:r>
        <w:t xml:space="preserve"> of Controller </w:t>
      </w:r>
    </w:p>
    <w:p w:rsidR="001724D5" w:rsidRDefault="00255759">
      <w:pPr>
        <w:ind w:left="1671" w:right="1136"/>
      </w:pPr>
      <w:r>
        <w:t xml:space="preserve">45 West Gude Drive, Suite 3200 Rockville, MD 20850-9999 </w:t>
      </w:r>
    </w:p>
    <w:p w:rsidR="001724D5" w:rsidRDefault="00255759">
      <w:pPr>
        <w:ind w:left="1293" w:right="0" w:hanging="360"/>
      </w:pPr>
      <w:r>
        <w:t xml:space="preserve">Every invoice must include the following information: </w:t>
      </w:r>
      <w:r>
        <w:tab/>
        <w:t xml:space="preserve"> </w:t>
      </w:r>
      <w:r>
        <w:rPr>
          <w:b/>
        </w:rPr>
        <w:t>A.</w:t>
      </w:r>
      <w:r>
        <w:rPr>
          <w:rFonts w:ascii="Arial" w:eastAsia="Arial" w:hAnsi="Arial" w:cs="Arial"/>
          <w:b/>
        </w:rPr>
        <w:t xml:space="preserve"> </w:t>
      </w:r>
      <w:r>
        <w:rPr>
          <w:rFonts w:ascii="Arial" w:eastAsia="Arial" w:hAnsi="Arial" w:cs="Arial"/>
          <w:b/>
        </w:rPr>
        <w:tab/>
      </w:r>
      <w:r>
        <w:t xml:space="preserve">Name and address of the contractor </w:t>
      </w:r>
    </w:p>
    <w:p w:rsidR="001724D5" w:rsidRDefault="00255759">
      <w:pPr>
        <w:numPr>
          <w:ilvl w:val="0"/>
          <w:numId w:val="3"/>
        </w:numPr>
        <w:ind w:right="1136" w:hanging="360"/>
      </w:pPr>
      <w:r>
        <w:t xml:space="preserve">Taxpayer Identification number </w:t>
      </w:r>
    </w:p>
    <w:p w:rsidR="001724D5" w:rsidRDefault="00255759">
      <w:pPr>
        <w:numPr>
          <w:ilvl w:val="0"/>
          <w:numId w:val="3"/>
        </w:numPr>
        <w:spacing w:after="26"/>
        <w:ind w:right="1136" w:hanging="360"/>
      </w:pPr>
      <w:r>
        <w:t xml:space="preserve">The purchase order number </w:t>
      </w:r>
    </w:p>
    <w:p w:rsidR="001724D5" w:rsidRDefault="00255759">
      <w:pPr>
        <w:numPr>
          <w:ilvl w:val="0"/>
          <w:numId w:val="3"/>
        </w:numPr>
        <w:ind w:right="1136" w:hanging="360"/>
      </w:pPr>
      <w:r>
        <w:t xml:space="preserve">An invoice </w:t>
      </w:r>
      <w:proofErr w:type="gramStart"/>
      <w:r>
        <w:t>number</w:t>
      </w:r>
      <w:proofErr w:type="gramEnd"/>
      <w:r>
        <w:t xml:space="preserve"> </w:t>
      </w:r>
    </w:p>
    <w:p w:rsidR="001724D5" w:rsidRDefault="00255759">
      <w:pPr>
        <w:numPr>
          <w:ilvl w:val="0"/>
          <w:numId w:val="3"/>
        </w:numPr>
        <w:spacing w:after="117"/>
        <w:ind w:right="1136" w:hanging="360"/>
      </w:pPr>
      <w:r>
        <w:t xml:space="preserve">Bid number if applicable </w:t>
      </w:r>
    </w:p>
    <w:p w:rsidR="001724D5" w:rsidRDefault="00255759">
      <w:pPr>
        <w:numPr>
          <w:ilvl w:val="0"/>
          <w:numId w:val="3"/>
        </w:numPr>
        <w:ind w:right="1136" w:hanging="360"/>
      </w:pPr>
      <w:r>
        <w:t xml:space="preserve">The ship to address </w:t>
      </w:r>
      <w:r>
        <w:tab/>
      </w:r>
      <w:r>
        <w:rPr>
          <w:sz w:val="18"/>
        </w:rPr>
        <w:t xml:space="preserve"> </w:t>
      </w:r>
    </w:p>
    <w:p w:rsidR="001724D5" w:rsidRDefault="00255759">
      <w:pPr>
        <w:numPr>
          <w:ilvl w:val="0"/>
          <w:numId w:val="3"/>
        </w:numPr>
        <w:spacing w:after="27"/>
        <w:ind w:right="1136" w:hanging="360"/>
      </w:pPr>
      <w:r>
        <w:t xml:space="preserve">Line item description, quantity, unit of measure, unit price, and extended price as stated on the purchase </w:t>
      </w:r>
    </w:p>
    <w:p w:rsidR="001724D5" w:rsidRDefault="00255759">
      <w:pPr>
        <w:tabs>
          <w:tab w:val="center" w:pos="1829"/>
          <w:tab w:val="center" w:pos="5300"/>
        </w:tabs>
        <w:spacing w:after="31" w:line="259" w:lineRule="auto"/>
        <w:ind w:left="0" w:right="0" w:firstLine="0"/>
        <w:jc w:val="left"/>
      </w:pPr>
      <w:r>
        <w:rPr>
          <w:rFonts w:ascii="Calibri" w:eastAsia="Calibri" w:hAnsi="Calibri" w:cs="Calibri"/>
          <w:sz w:val="22"/>
        </w:rPr>
        <w:tab/>
      </w:r>
      <w:r>
        <w:t xml:space="preserve">order </w:t>
      </w:r>
      <w:r>
        <w:tab/>
      </w:r>
      <w:r>
        <w:rPr>
          <w:sz w:val="15"/>
        </w:rPr>
        <w:t xml:space="preserve"> </w:t>
      </w:r>
    </w:p>
    <w:p w:rsidR="001724D5" w:rsidRDefault="00255759">
      <w:pPr>
        <w:numPr>
          <w:ilvl w:val="0"/>
          <w:numId w:val="3"/>
        </w:numPr>
        <w:spacing w:after="26"/>
        <w:ind w:right="1136" w:hanging="360"/>
      </w:pPr>
      <w:r>
        <w:t xml:space="preserve">Shipping and payment terms if not a bid item </w:t>
      </w:r>
    </w:p>
    <w:p w:rsidR="001724D5" w:rsidRDefault="00255759">
      <w:pPr>
        <w:spacing w:after="0" w:line="259" w:lineRule="auto"/>
        <w:ind w:left="0" w:right="0" w:firstLine="0"/>
        <w:jc w:val="left"/>
      </w:pPr>
      <w:r>
        <w:rPr>
          <w:sz w:val="19"/>
        </w:rPr>
        <w:t xml:space="preserve"> </w:t>
      </w:r>
    </w:p>
    <w:p w:rsidR="001724D5" w:rsidRDefault="00255759">
      <w:pPr>
        <w:ind w:left="550" w:right="1136"/>
      </w:pPr>
      <w:r>
        <w:t xml:space="preserve">When a discount for payment is authorized and taken; it will be made to the contractor as close as possible to, but not later than, the end of the discount period. Prices quoted shall not include federal excise or state sales and use taxes. Exemption certificates will be furnished upon </w:t>
      </w:r>
    </w:p>
    <w:p w:rsidR="001724D5" w:rsidRDefault="00255759">
      <w:pPr>
        <w:tabs>
          <w:tab w:val="center" w:pos="2369"/>
          <w:tab w:val="center" w:pos="5300"/>
        </w:tabs>
        <w:spacing w:after="3" w:line="259" w:lineRule="auto"/>
        <w:ind w:left="0" w:right="0" w:firstLine="0"/>
        <w:jc w:val="left"/>
      </w:pPr>
      <w:r>
        <w:rPr>
          <w:rFonts w:ascii="Calibri" w:eastAsia="Calibri" w:hAnsi="Calibri" w:cs="Calibri"/>
          <w:sz w:val="22"/>
        </w:rPr>
        <w:tab/>
      </w:r>
      <w:r>
        <w:t xml:space="preserve">request. Contractor inquiries concerning payment may be </w:t>
      </w:r>
      <w:r>
        <w:tab/>
        <w:t xml:space="preserve"> </w:t>
      </w:r>
    </w:p>
    <w:p w:rsidR="001724D5" w:rsidRDefault="00255759">
      <w:pPr>
        <w:spacing w:after="203"/>
        <w:ind w:left="10" w:right="1136"/>
      </w:pPr>
      <w:r>
        <w:t xml:space="preserve">made to accountspayable@mcpsmd.org. </w:t>
      </w:r>
    </w:p>
    <w:p w:rsidR="001724D5" w:rsidRDefault="00255759">
      <w:pPr>
        <w:pStyle w:val="Heading2"/>
        <w:spacing w:after="179"/>
        <w:ind w:left="10" w:right="835"/>
      </w:pPr>
      <w:r>
        <w:t>XIV.</w:t>
      </w:r>
      <w:r>
        <w:rPr>
          <w:rFonts w:ascii="Arial" w:eastAsia="Arial" w:hAnsi="Arial" w:cs="Arial"/>
        </w:rPr>
        <w:t xml:space="preserve"> </w:t>
      </w:r>
      <w:r>
        <w:t xml:space="preserve">Bid Security </w:t>
      </w:r>
    </w:p>
    <w:p w:rsidR="001724D5" w:rsidRDefault="00255759">
      <w:pPr>
        <w:ind w:left="10" w:right="0"/>
      </w:pPr>
      <w:r>
        <w:t xml:space="preserve">If bid security is required, it must be payable to: “Montgomery County </w:t>
      </w:r>
    </w:p>
    <w:p w:rsidR="001724D5" w:rsidRDefault="00255759">
      <w:pPr>
        <w:ind w:left="10" w:right="1136"/>
      </w:pPr>
      <w:r>
        <w:t xml:space="preserve">Board of Education.” </w:t>
      </w:r>
    </w:p>
    <w:p w:rsidR="001724D5" w:rsidRDefault="00255759">
      <w:pPr>
        <w:spacing w:after="0" w:line="259" w:lineRule="auto"/>
        <w:ind w:left="0" w:right="0" w:firstLine="0"/>
        <w:jc w:val="left"/>
      </w:pPr>
      <w:r>
        <w:t xml:space="preserve"> </w:t>
      </w:r>
    </w:p>
    <w:p w:rsidR="001724D5" w:rsidRDefault="00255759">
      <w:pPr>
        <w:spacing w:after="72"/>
        <w:ind w:left="10" w:right="933"/>
      </w:pPr>
      <w:r>
        <w:t xml:space="preserve">Such bid security will be returned to all except the successful bidder(s) within five business days after awards have been made. The bid security of the successful bidder(s) will be returned upon receipt of the performance bond if such bond is required under the terms of the award. If no award is made within 60 days after the date of the opening of the bids, bid security will be returned to any bidder upon demand of the bidder at any time after the 60-day period so long as it </w:t>
      </w:r>
      <w:proofErr w:type="gramStart"/>
      <w:r>
        <w:t>have</w:t>
      </w:r>
      <w:proofErr w:type="gramEnd"/>
      <w:r>
        <w:t xml:space="preserve"> not been notified of the acceptance of its bid. </w:t>
      </w:r>
    </w:p>
    <w:p w:rsidR="001724D5" w:rsidRDefault="00255759">
      <w:pPr>
        <w:spacing w:after="202"/>
        <w:ind w:left="58" w:right="1136"/>
      </w:pPr>
      <w:r>
        <w:t xml:space="preserve">Written notification of the acceptance of any bid will be made to the successful bidder(s). </w:t>
      </w:r>
    </w:p>
    <w:p w:rsidR="001724D5" w:rsidRDefault="00255759">
      <w:pPr>
        <w:pStyle w:val="Heading2"/>
        <w:ind w:left="58" w:right="835"/>
      </w:pPr>
      <w:r>
        <w:t>XV.</w:t>
      </w:r>
      <w:r>
        <w:rPr>
          <w:rFonts w:ascii="Arial" w:eastAsia="Arial" w:hAnsi="Arial" w:cs="Arial"/>
        </w:rPr>
        <w:t xml:space="preserve"> </w:t>
      </w:r>
      <w:r>
        <w:t xml:space="preserve">Performance Bonds </w:t>
      </w:r>
    </w:p>
    <w:p w:rsidR="001724D5" w:rsidRDefault="00255759">
      <w:pPr>
        <w:spacing w:after="202"/>
        <w:ind w:left="58" w:right="1136"/>
      </w:pPr>
      <w:r>
        <w:t xml:space="preserve">If required, the successful bidder or bidders on this bid must furnish a performance bond in the amount indicated in the bid document, made out to Montgomery County Board of Education and prepared on an approved performance bond form as security for the faithful performance of its contract. The performance bond shall be submitted within ten business days of the notification that the bid has been awarded. The surety thereon must be such surety company or companies as are acceptable to The Board of Education and as are authorized to transact business in the State of Maryland. Attorneys in fact who sign bid bonds must file with each bond a certified copy of its power of attorney to sign said bonds. Should the bidder fail or refuse to furnish the required performance bond within ten business days after notification the bidder shall pay to The Board of Education as liquidated damages for such failure or refusal an amount in cash equal to the security deposited with its bid. </w:t>
      </w:r>
    </w:p>
    <w:p w:rsidR="001724D5" w:rsidRDefault="00255759">
      <w:pPr>
        <w:pStyle w:val="Heading2"/>
        <w:ind w:left="58" w:right="835"/>
      </w:pPr>
      <w:r>
        <w:t>XVI.</w:t>
      </w:r>
      <w:r>
        <w:rPr>
          <w:rFonts w:ascii="Arial" w:eastAsia="Arial" w:hAnsi="Arial" w:cs="Arial"/>
        </w:rPr>
        <w:t xml:space="preserve"> </w:t>
      </w:r>
      <w:r>
        <w:t xml:space="preserve">Provision </w:t>
      </w:r>
      <w:proofErr w:type="gramStart"/>
      <w:r>
        <w:t>For</w:t>
      </w:r>
      <w:proofErr w:type="gramEnd"/>
      <w:r>
        <w:t xml:space="preserve"> Municipal Offices </w:t>
      </w:r>
    </w:p>
    <w:p w:rsidR="001724D5" w:rsidRDefault="00255759">
      <w:pPr>
        <w:spacing w:after="202"/>
        <w:ind w:left="58" w:right="1136"/>
      </w:pPr>
      <w:r>
        <w:t xml:space="preserve">Each bidder agrees when submitting its bid that it will make available to every office and department of the Montgomery County Government the bid prices submitted on this bid should any such department or office wish to take advantage of the bid prices submitted to The Board of Education. </w:t>
      </w:r>
    </w:p>
    <w:p w:rsidR="001724D5" w:rsidRDefault="00255759">
      <w:pPr>
        <w:pStyle w:val="Heading2"/>
        <w:ind w:left="58" w:right="835"/>
      </w:pPr>
      <w:r>
        <w:t>XVII.</w:t>
      </w:r>
      <w:r>
        <w:rPr>
          <w:rFonts w:ascii="Arial" w:eastAsia="Arial" w:hAnsi="Arial" w:cs="Arial"/>
        </w:rPr>
        <w:t xml:space="preserve"> </w:t>
      </w:r>
      <w:r>
        <w:t xml:space="preserve">Product Testing During Time of Contract </w:t>
      </w:r>
    </w:p>
    <w:p w:rsidR="001724D5" w:rsidRDefault="00255759">
      <w:pPr>
        <w:spacing w:after="176"/>
        <w:ind w:left="58" w:right="1136"/>
      </w:pPr>
      <w:r>
        <w:t xml:space="preserve">Material delivered on any contract resulting from this Invitation </w:t>
      </w:r>
      <w:proofErr w:type="gramStart"/>
      <w:r>
        <w:t>For</w:t>
      </w:r>
      <w:proofErr w:type="gramEnd"/>
      <w:r>
        <w:t xml:space="preserve"> Bid may be tested for compliance with the specification stipulated herein. Any shipment failing to fully meet or comply with the specification requirements will be promptly rejected. </w:t>
      </w:r>
    </w:p>
    <w:p w:rsidR="001724D5" w:rsidRDefault="00255759">
      <w:pPr>
        <w:spacing w:after="203"/>
        <w:ind w:left="58" w:right="1136"/>
      </w:pPr>
      <w:r>
        <w:t xml:space="preserve">The cost of testing a representative sample of an order or shipment for acceptance shall be borne by the Board of Education except if the order or shipment is rejected for failure to meet the requirements of the specification. In case of failure to meet the requirements of the specification the cost of testing will be charged to the contractor. </w:t>
      </w:r>
    </w:p>
    <w:p w:rsidR="001724D5" w:rsidRDefault="00255759">
      <w:pPr>
        <w:pStyle w:val="Heading2"/>
        <w:ind w:left="58" w:right="835"/>
      </w:pPr>
      <w:r>
        <w:t>XVIII.</w:t>
      </w:r>
      <w:r>
        <w:rPr>
          <w:rFonts w:ascii="Arial" w:eastAsia="Arial" w:hAnsi="Arial" w:cs="Arial"/>
        </w:rPr>
        <w:t xml:space="preserve"> </w:t>
      </w:r>
      <w:r>
        <w:t xml:space="preserve">Safety Standards </w:t>
      </w:r>
    </w:p>
    <w:p w:rsidR="001724D5" w:rsidRDefault="00255759">
      <w:pPr>
        <w:spacing w:after="224"/>
        <w:ind w:left="58" w:right="1136"/>
      </w:pPr>
      <w:r>
        <w:t xml:space="preserve">All work performed and all items supplied shall </w:t>
      </w:r>
      <w:proofErr w:type="gramStart"/>
      <w:r>
        <w:t>be in compliance with</w:t>
      </w:r>
      <w:proofErr w:type="gramEnd"/>
      <w:r>
        <w:t xml:space="preserve"> applicable federal and state safety standards. (OSHA-MOSHA). Material Safety Data Sheets shall be included in all shipments. </w:t>
      </w:r>
    </w:p>
    <w:p w:rsidR="001724D5" w:rsidRDefault="00255759">
      <w:pPr>
        <w:pStyle w:val="Heading2"/>
        <w:ind w:left="58" w:right="835"/>
      </w:pPr>
      <w:r>
        <w:lastRenderedPageBreak/>
        <w:t>XIX.</w:t>
      </w:r>
      <w:r>
        <w:rPr>
          <w:rFonts w:ascii="Arial" w:eastAsia="Arial" w:hAnsi="Arial" w:cs="Arial"/>
        </w:rPr>
        <w:t xml:space="preserve"> </w:t>
      </w:r>
      <w:r>
        <w:t xml:space="preserve">General Guaranty </w:t>
      </w:r>
    </w:p>
    <w:p w:rsidR="001724D5" w:rsidRDefault="00255759">
      <w:pPr>
        <w:spacing w:after="178"/>
        <w:ind w:left="58" w:right="1136"/>
      </w:pPr>
      <w:r>
        <w:t xml:space="preserve">The contractor agrees to: </w:t>
      </w:r>
    </w:p>
    <w:p w:rsidR="001724D5" w:rsidRDefault="00255759">
      <w:pPr>
        <w:numPr>
          <w:ilvl w:val="0"/>
          <w:numId w:val="4"/>
        </w:numPr>
        <w:spacing w:after="180"/>
        <w:ind w:right="1136" w:hanging="360"/>
      </w:pPr>
      <w:r>
        <w:t xml:space="preserve">Save the Board of Education, its agents, and employees harmless from liability of any nature or any kind for the use of any copyrighted or uncopyrighted </w:t>
      </w:r>
      <w:proofErr w:type="gramStart"/>
      <w:r>
        <w:t>composition,  secret</w:t>
      </w:r>
      <w:proofErr w:type="gramEnd"/>
      <w:r>
        <w:t xml:space="preserve"> process, patented or unpatented invention, article,  or  appliance furnished or used in the performance of the contract of which the contractor is not patented assignee, licensee, or owner. </w:t>
      </w:r>
    </w:p>
    <w:p w:rsidR="001724D5" w:rsidRDefault="00255759">
      <w:pPr>
        <w:numPr>
          <w:ilvl w:val="0"/>
          <w:numId w:val="4"/>
        </w:numPr>
        <w:ind w:right="1136" w:hanging="360"/>
      </w:pPr>
      <w:r>
        <w:t xml:space="preserve">Protect the Board of Education against latent defective material </w:t>
      </w:r>
    </w:p>
    <w:p w:rsidR="001724D5" w:rsidRDefault="00255759">
      <w:pPr>
        <w:ind w:left="943" w:right="1360"/>
      </w:pPr>
      <w:r>
        <w:t xml:space="preserve">or workmanship and to repair or replace any damages or marring occasioned in transit or delivery. </w:t>
      </w:r>
    </w:p>
    <w:p w:rsidR="001724D5" w:rsidRDefault="00255759">
      <w:pPr>
        <w:spacing w:after="0" w:line="259" w:lineRule="auto"/>
        <w:ind w:left="0" w:right="0" w:firstLine="0"/>
        <w:jc w:val="left"/>
      </w:pPr>
      <w:r>
        <w:rPr>
          <w:sz w:val="15"/>
        </w:rPr>
        <w:t xml:space="preserve"> </w:t>
      </w:r>
    </w:p>
    <w:p w:rsidR="001724D5" w:rsidRDefault="00255759">
      <w:pPr>
        <w:numPr>
          <w:ilvl w:val="0"/>
          <w:numId w:val="4"/>
        </w:numPr>
        <w:ind w:right="1136" w:hanging="360"/>
      </w:pPr>
      <w:r>
        <w:t xml:space="preserve">Furnish adequate protection against damage to </w:t>
      </w:r>
    </w:p>
    <w:p w:rsidR="001724D5" w:rsidRDefault="00255759">
      <w:pPr>
        <w:tabs>
          <w:tab w:val="center" w:pos="2467"/>
          <w:tab w:val="center" w:pos="5300"/>
        </w:tabs>
        <w:spacing w:after="3" w:line="259" w:lineRule="auto"/>
        <w:ind w:left="0" w:right="0" w:firstLine="0"/>
        <w:jc w:val="left"/>
      </w:pPr>
      <w:r>
        <w:rPr>
          <w:rFonts w:ascii="Calibri" w:eastAsia="Calibri" w:hAnsi="Calibri" w:cs="Calibri"/>
          <w:sz w:val="22"/>
        </w:rPr>
        <w:tab/>
      </w:r>
      <w:r>
        <w:t xml:space="preserve">all work and to repair damages of any kind, to </w:t>
      </w:r>
      <w:r>
        <w:tab/>
        <w:t xml:space="preserve"> </w:t>
      </w:r>
    </w:p>
    <w:p w:rsidR="001724D5" w:rsidRDefault="00255759">
      <w:pPr>
        <w:ind w:left="943" w:right="1136"/>
      </w:pPr>
      <w:r>
        <w:t xml:space="preserve">the building or equipment, to its own work or to </w:t>
      </w:r>
    </w:p>
    <w:p w:rsidR="001724D5" w:rsidRDefault="00255759">
      <w:pPr>
        <w:ind w:left="943" w:right="1136"/>
      </w:pPr>
      <w:r>
        <w:t xml:space="preserve">the work of the contractors for which it or </w:t>
      </w:r>
      <w:proofErr w:type="gramStart"/>
      <w:r>
        <w:t xml:space="preserve">its </w:t>
      </w:r>
      <w:r>
        <w:rPr>
          <w:b/>
          <w:sz w:val="17"/>
        </w:rPr>
        <w:t xml:space="preserve"> </w:t>
      </w:r>
      <w:r>
        <w:t>workers</w:t>
      </w:r>
      <w:proofErr w:type="gramEnd"/>
      <w:r>
        <w:t xml:space="preserve"> are responsible. </w:t>
      </w:r>
    </w:p>
    <w:p w:rsidR="001724D5" w:rsidRDefault="00255759">
      <w:pPr>
        <w:spacing w:after="0" w:line="259" w:lineRule="auto"/>
        <w:ind w:left="0" w:right="0" w:firstLine="0"/>
        <w:jc w:val="left"/>
      </w:pPr>
      <w:r>
        <w:rPr>
          <w:sz w:val="15"/>
        </w:rPr>
        <w:t xml:space="preserve"> </w:t>
      </w:r>
    </w:p>
    <w:p w:rsidR="001724D5" w:rsidRDefault="00255759">
      <w:pPr>
        <w:numPr>
          <w:ilvl w:val="0"/>
          <w:numId w:val="4"/>
        </w:numPr>
        <w:spacing w:after="36"/>
        <w:ind w:right="1136" w:hanging="360"/>
      </w:pPr>
      <w:r>
        <w:t xml:space="preserve">Pay for all permits, licenses, and fees and give all notices and comply with all laws, ordinances, rules, and regulations of the Board of Education and of the State of Maryland. </w:t>
      </w:r>
    </w:p>
    <w:p w:rsidR="001724D5" w:rsidRDefault="00255759">
      <w:pPr>
        <w:spacing w:after="92" w:line="259" w:lineRule="auto"/>
        <w:ind w:left="0" w:right="0" w:firstLine="0"/>
      </w:pPr>
      <w:r>
        <w:t xml:space="preserve"> </w:t>
      </w:r>
      <w:r>
        <w:tab/>
        <w:t xml:space="preserve"> </w:t>
      </w:r>
    </w:p>
    <w:p w:rsidR="001724D5" w:rsidRDefault="00255759">
      <w:pPr>
        <w:pStyle w:val="Heading2"/>
        <w:tabs>
          <w:tab w:val="center" w:pos="961"/>
          <w:tab w:val="center" w:pos="1839"/>
        </w:tabs>
        <w:spacing w:after="56"/>
        <w:ind w:left="0" w:firstLine="0"/>
        <w:jc w:val="left"/>
      </w:pPr>
      <w:r>
        <w:rPr>
          <w:rFonts w:ascii="Calibri" w:eastAsia="Calibri" w:hAnsi="Calibri" w:cs="Calibri"/>
          <w:b w:val="0"/>
          <w:sz w:val="22"/>
        </w:rPr>
        <w:tab/>
      </w:r>
      <w:r>
        <w:t>XX.</w:t>
      </w:r>
      <w:r>
        <w:rPr>
          <w:rFonts w:ascii="Arial" w:eastAsia="Arial" w:hAnsi="Arial" w:cs="Arial"/>
        </w:rPr>
        <w:t xml:space="preserve"> </w:t>
      </w:r>
      <w:r>
        <w:rPr>
          <w:rFonts w:ascii="Arial" w:eastAsia="Arial" w:hAnsi="Arial" w:cs="Arial"/>
        </w:rPr>
        <w:tab/>
      </w:r>
      <w:r>
        <w:t xml:space="preserve">Indemnity </w:t>
      </w:r>
    </w:p>
    <w:p w:rsidR="001724D5" w:rsidRDefault="00255759">
      <w:pPr>
        <w:ind w:left="822" w:right="80"/>
      </w:pPr>
      <w:r>
        <w:t xml:space="preserve">The contractor shall indemnify, keep, and save harmless the Board of Education, its agents, officials, and employees against all injuries, death, loss, damages, claims, patent claims, suits, liabilities, judgments, costs and expenses, which may in any way occur against them in consequence of the granting of this contract or which may in any way result therefrom, whether or not it shall be alleged or determined that the act was caused through negligence or omission of the contractor or its employees, except to the extent of the negligence of the Board of Education, its agents, officials and employees. The contractor shall, at its own expense, appear, defend, and pay all charges of attorneys and all costs and other expenses arising therefrom or incurred in connection therewith; and if any judgment shall be rendered against the Board of Education in any such action based on the actions and/or negligence of the contractor, its agents and employees, the contractor shall at its own expense satisfy and discharge the same. Contractor expressly understands and agrees that any performance bond or insurance protection required by this contract, or otherwise provided by the contractor, shall in no way limit the responsibility to indemnify, keep, and save harmless and defend the Board of Education as herein provided. </w:t>
      </w:r>
    </w:p>
    <w:p w:rsidR="001724D5" w:rsidRDefault="00255759">
      <w:pPr>
        <w:spacing w:after="5" w:line="259" w:lineRule="auto"/>
        <w:ind w:left="812" w:right="0" w:firstLine="0"/>
        <w:jc w:val="left"/>
      </w:pPr>
      <w:r>
        <w:t xml:space="preserve"> </w:t>
      </w:r>
    </w:p>
    <w:p w:rsidR="001724D5" w:rsidRDefault="00255759">
      <w:pPr>
        <w:pStyle w:val="Heading2"/>
        <w:tabs>
          <w:tab w:val="center" w:pos="994"/>
          <w:tab w:val="center" w:pos="1882"/>
        </w:tabs>
        <w:ind w:left="0" w:firstLine="0"/>
        <w:jc w:val="left"/>
      </w:pPr>
      <w:r>
        <w:rPr>
          <w:rFonts w:ascii="Calibri" w:eastAsia="Calibri" w:hAnsi="Calibri" w:cs="Calibri"/>
          <w:b w:val="0"/>
          <w:sz w:val="22"/>
        </w:rPr>
        <w:tab/>
      </w:r>
      <w:r>
        <w:t>XXI.</w:t>
      </w:r>
      <w:r>
        <w:rPr>
          <w:rFonts w:ascii="Arial" w:eastAsia="Arial" w:hAnsi="Arial" w:cs="Arial"/>
        </w:rPr>
        <w:t xml:space="preserve"> </w:t>
      </w:r>
      <w:r>
        <w:rPr>
          <w:rFonts w:ascii="Arial" w:eastAsia="Arial" w:hAnsi="Arial" w:cs="Arial"/>
        </w:rPr>
        <w:tab/>
      </w:r>
      <w:r>
        <w:t xml:space="preserve">Insurance </w:t>
      </w:r>
    </w:p>
    <w:p w:rsidR="001724D5" w:rsidRDefault="00255759">
      <w:pPr>
        <w:ind w:left="822" w:right="79"/>
      </w:pPr>
      <w:r>
        <w:t xml:space="preserve">The contractor shall maintain Comprehensive Business Insurance for protection from claims under the Workmen’s Compensation Act, claims for damage because of bodily injury, death, or property damage to others, including employees of the Board of Education; and claims for damages arising out of the operation of motor vehicles, which may arise during the performance of the contract whether caused by the contractor or by any subcontractor or anyone directly or indirectly employed by either of them. The contractor shall also maintain product liability insurance. The aforementioned insurance shall cover the duration of the contract period, including all periods of the time and all places where work is performed under an expressed or implied warranty. The limits of such liability insurance for each occurrence shall be equal to or greater than </w:t>
      </w:r>
    </w:p>
    <w:p w:rsidR="001724D5" w:rsidRDefault="00255759">
      <w:pPr>
        <w:ind w:left="822" w:right="79"/>
      </w:pPr>
      <w:r>
        <w:t xml:space="preserve">$500,000 for Bodily Injury and $100,000 for Property Damage. The certificate on the insurance, indicating coverage for the term of the contract, shall be made in favor and provided to The Board of Education prior to commencement of the contract. A company duly licensed by the Maryland Insurance Commissioner and qualified to sell insurance in Maryland shall issue all insurance policies. </w:t>
      </w:r>
    </w:p>
    <w:p w:rsidR="001724D5" w:rsidRDefault="00255759">
      <w:pPr>
        <w:spacing w:after="0" w:line="259" w:lineRule="auto"/>
        <w:ind w:left="812" w:right="0" w:firstLine="0"/>
        <w:jc w:val="left"/>
      </w:pPr>
      <w:r>
        <w:rPr>
          <w:sz w:val="18"/>
        </w:rPr>
        <w:t xml:space="preserve"> </w:t>
      </w:r>
    </w:p>
    <w:p w:rsidR="001724D5" w:rsidRDefault="00255759">
      <w:pPr>
        <w:pStyle w:val="Heading2"/>
        <w:tabs>
          <w:tab w:val="center" w:pos="1029"/>
          <w:tab w:val="center" w:pos="2550"/>
        </w:tabs>
        <w:ind w:left="0" w:firstLine="0"/>
        <w:jc w:val="left"/>
      </w:pPr>
      <w:r>
        <w:rPr>
          <w:rFonts w:ascii="Calibri" w:eastAsia="Calibri" w:hAnsi="Calibri" w:cs="Calibri"/>
          <w:b w:val="0"/>
          <w:sz w:val="22"/>
        </w:rPr>
        <w:tab/>
      </w:r>
      <w:r>
        <w:t>XXII.</w:t>
      </w:r>
      <w:r>
        <w:rPr>
          <w:rFonts w:ascii="Arial" w:eastAsia="Arial" w:hAnsi="Arial" w:cs="Arial"/>
        </w:rPr>
        <w:t xml:space="preserve"> </w:t>
      </w:r>
      <w:r>
        <w:rPr>
          <w:rFonts w:ascii="Arial" w:eastAsia="Arial" w:hAnsi="Arial" w:cs="Arial"/>
        </w:rPr>
        <w:tab/>
      </w:r>
      <w:r>
        <w:t xml:space="preserve">Inspection </w:t>
      </w:r>
      <w:proofErr w:type="gramStart"/>
      <w:r>
        <w:t>Of</w:t>
      </w:r>
      <w:proofErr w:type="gramEnd"/>
      <w:r>
        <w:t xml:space="preserve"> Premises </w:t>
      </w:r>
    </w:p>
    <w:p w:rsidR="001724D5" w:rsidRDefault="00255759">
      <w:pPr>
        <w:spacing w:after="102"/>
        <w:ind w:left="822" w:right="79"/>
      </w:pPr>
      <w:r>
        <w:t xml:space="preserve">Before submitting a bid for any construction or installation work in any building or on the premises of the Board of Education, the bidder should carefully examine the premises and upon submitting its bid will be considered to have examined the premises, building, or buildings where the work is to be done. For any work or installation requiring the use of labor, the successful bidder before starting work must provide sufficient evidence of insurance showing that it is adequately covered for Workmen’s Compensation and Public Liability insurance.  </w:t>
      </w:r>
    </w:p>
    <w:p w:rsidR="001724D5" w:rsidRDefault="00255759">
      <w:pPr>
        <w:spacing w:after="0" w:line="259" w:lineRule="auto"/>
        <w:ind w:left="0" w:right="2" w:firstLine="0"/>
        <w:jc w:val="right"/>
      </w:pPr>
      <w:r>
        <w:rPr>
          <w:sz w:val="18"/>
        </w:rPr>
        <w:t xml:space="preserve"> </w:t>
      </w:r>
      <w:r>
        <w:rPr>
          <w:sz w:val="18"/>
        </w:rPr>
        <w:tab/>
      </w:r>
      <w:r>
        <w:t xml:space="preserve"> </w:t>
      </w:r>
    </w:p>
    <w:p w:rsidR="001724D5" w:rsidRDefault="00255759">
      <w:pPr>
        <w:pStyle w:val="Heading2"/>
        <w:tabs>
          <w:tab w:val="center" w:pos="1062"/>
          <w:tab w:val="center" w:pos="1945"/>
        </w:tabs>
        <w:spacing w:after="30"/>
        <w:ind w:left="0" w:firstLine="0"/>
        <w:jc w:val="left"/>
      </w:pPr>
      <w:r>
        <w:rPr>
          <w:rFonts w:ascii="Calibri" w:eastAsia="Calibri" w:hAnsi="Calibri" w:cs="Calibri"/>
          <w:b w:val="0"/>
          <w:sz w:val="22"/>
        </w:rPr>
        <w:tab/>
      </w:r>
      <w:r>
        <w:t>XXIII.</w:t>
      </w:r>
      <w:r>
        <w:rPr>
          <w:rFonts w:ascii="Arial" w:eastAsia="Arial" w:hAnsi="Arial" w:cs="Arial"/>
        </w:rPr>
        <w:t xml:space="preserve"> </w:t>
      </w:r>
      <w:r>
        <w:rPr>
          <w:rFonts w:ascii="Arial" w:eastAsia="Arial" w:hAnsi="Arial" w:cs="Arial"/>
        </w:rPr>
        <w:tab/>
      </w:r>
      <w:r>
        <w:t xml:space="preserve">Patents </w:t>
      </w:r>
    </w:p>
    <w:p w:rsidR="001724D5" w:rsidRDefault="00255759">
      <w:pPr>
        <w:spacing w:after="0" w:line="259" w:lineRule="auto"/>
        <w:ind w:left="0" w:right="0" w:firstLine="0"/>
        <w:jc w:val="right"/>
      </w:pPr>
      <w:r>
        <w:rPr>
          <w:b/>
          <w:sz w:val="17"/>
        </w:rPr>
        <w:t xml:space="preserve"> </w:t>
      </w:r>
    </w:p>
    <w:p w:rsidR="001724D5" w:rsidRDefault="00255759">
      <w:pPr>
        <w:spacing w:after="205"/>
        <w:ind w:left="822" w:right="1136"/>
      </w:pPr>
      <w:r>
        <w:t xml:space="preserve">The contractor shall hold and save the Board of Education, its officers, agents, servants, and employees harmless from liability of any nature or kind, including costs and expenses for or on account of any patented or unpatented inventions, articles, process, or appliance manufactured or used in performance of this contract including its use by Montgomery County, unless otherwise specifically stipulated in this contract. </w:t>
      </w:r>
    </w:p>
    <w:p w:rsidR="001724D5" w:rsidRDefault="00255759">
      <w:pPr>
        <w:pStyle w:val="Heading2"/>
        <w:tabs>
          <w:tab w:val="center" w:pos="469"/>
          <w:tab w:val="center" w:pos="1969"/>
        </w:tabs>
        <w:spacing w:after="178"/>
        <w:ind w:left="0" w:firstLine="0"/>
        <w:jc w:val="left"/>
      </w:pPr>
      <w:r>
        <w:rPr>
          <w:rFonts w:ascii="Calibri" w:eastAsia="Calibri" w:hAnsi="Calibri" w:cs="Calibri"/>
          <w:b w:val="0"/>
          <w:sz w:val="22"/>
        </w:rPr>
        <w:tab/>
      </w:r>
      <w:r>
        <w:t>XXIV.</w:t>
      </w:r>
      <w:r>
        <w:rPr>
          <w:rFonts w:ascii="Arial" w:eastAsia="Arial" w:hAnsi="Arial" w:cs="Arial"/>
        </w:rPr>
        <w:t xml:space="preserve"> </w:t>
      </w:r>
      <w:r>
        <w:rPr>
          <w:rFonts w:ascii="Arial" w:eastAsia="Arial" w:hAnsi="Arial" w:cs="Arial"/>
        </w:rPr>
        <w:tab/>
      </w:r>
      <w:r>
        <w:t xml:space="preserve">Samples </w:t>
      </w:r>
      <w:proofErr w:type="gramStart"/>
      <w:r>
        <w:t>And</w:t>
      </w:r>
      <w:proofErr w:type="gramEnd"/>
      <w:r>
        <w:t xml:space="preserve"> Catalog Cuts </w:t>
      </w:r>
    </w:p>
    <w:p w:rsidR="001724D5" w:rsidRDefault="00255759">
      <w:pPr>
        <w:pStyle w:val="Heading3"/>
        <w:tabs>
          <w:tab w:val="center" w:pos="431"/>
          <w:tab w:val="center" w:pos="1651"/>
        </w:tabs>
        <w:ind w:left="0" w:firstLine="0"/>
      </w:pPr>
      <w:r>
        <w:rPr>
          <w:rFonts w:ascii="Calibri" w:eastAsia="Calibri" w:hAnsi="Calibri" w:cs="Calibri"/>
          <w:b w:val="0"/>
          <w:sz w:val="22"/>
        </w:rPr>
        <w:tab/>
      </w:r>
      <w:r>
        <w:t>A.</w:t>
      </w:r>
      <w:r>
        <w:rPr>
          <w:rFonts w:ascii="Arial" w:eastAsia="Arial" w:hAnsi="Arial" w:cs="Arial"/>
        </w:rPr>
        <w:t xml:space="preserve"> </w:t>
      </w:r>
      <w:r>
        <w:rPr>
          <w:rFonts w:ascii="Arial" w:eastAsia="Arial" w:hAnsi="Arial" w:cs="Arial"/>
        </w:rPr>
        <w:tab/>
      </w:r>
      <w:r>
        <w:t xml:space="preserve">Requirements and Delivery </w:t>
      </w:r>
    </w:p>
    <w:p w:rsidR="001724D5" w:rsidRDefault="00255759">
      <w:pPr>
        <w:spacing w:after="180"/>
        <w:ind w:left="723" w:right="1025"/>
      </w:pPr>
      <w:r>
        <w:t xml:space="preserve">Sample requirements and sample delivery stipulations are indicated in the bid document. Further details concerning samples may also be indicated in the detailed specification portion of the invitation. Bidders shall make all arrangements for delivery of samples to location indicated. </w:t>
      </w:r>
    </w:p>
    <w:p w:rsidR="001724D5" w:rsidRDefault="00255759">
      <w:pPr>
        <w:spacing w:after="85"/>
        <w:ind w:left="672" w:right="1136" w:hanging="319"/>
      </w:pPr>
      <w:r>
        <w:rPr>
          <w:b/>
        </w:rPr>
        <w:t>B.</w:t>
      </w:r>
      <w:r>
        <w:rPr>
          <w:rFonts w:ascii="Arial" w:eastAsia="Arial" w:hAnsi="Arial" w:cs="Arial"/>
          <w:b/>
        </w:rPr>
        <w:t xml:space="preserve"> </w:t>
      </w:r>
      <w:r>
        <w:rPr>
          <w:b/>
        </w:rPr>
        <w:t xml:space="preserve">Sample Identification </w:t>
      </w:r>
      <w:r>
        <w:t xml:space="preserve">All sample packages shall be marked “Samples” and each sample shall bear the name of the bidder, item number, and bid number and shall be carefully tagged or marked in a substantial manner. Failure of the bidder to clearly identify samples as indicated may be considered sufficient reason for rejection of its bid. </w:t>
      </w:r>
    </w:p>
    <w:p w:rsidR="001724D5" w:rsidRDefault="00255759">
      <w:pPr>
        <w:pStyle w:val="Heading3"/>
        <w:tabs>
          <w:tab w:val="center" w:pos="390"/>
          <w:tab w:val="center" w:pos="1735"/>
        </w:tabs>
        <w:ind w:left="0" w:firstLine="0"/>
      </w:pPr>
      <w:r>
        <w:rPr>
          <w:rFonts w:ascii="Calibri" w:eastAsia="Calibri" w:hAnsi="Calibri" w:cs="Calibri"/>
          <w:b w:val="0"/>
          <w:sz w:val="22"/>
        </w:rPr>
        <w:tab/>
      </w:r>
      <w:r>
        <w:t>C.</w:t>
      </w:r>
      <w:r>
        <w:rPr>
          <w:rFonts w:ascii="Arial" w:eastAsia="Arial" w:hAnsi="Arial" w:cs="Arial"/>
        </w:rPr>
        <w:t xml:space="preserve"> </w:t>
      </w:r>
      <w:r>
        <w:rPr>
          <w:rFonts w:ascii="Arial" w:eastAsia="Arial" w:hAnsi="Arial" w:cs="Arial"/>
        </w:rPr>
        <w:tab/>
      </w:r>
      <w:r>
        <w:t xml:space="preserve">Testing or Comparing Samples </w:t>
      </w:r>
    </w:p>
    <w:p w:rsidR="001724D5" w:rsidRDefault="00255759">
      <w:pPr>
        <w:spacing w:after="84"/>
        <w:ind w:left="682" w:right="1136"/>
      </w:pPr>
      <w:r>
        <w:t xml:space="preserve">Samples are requested for the purpose of testing or comparing with detailed specifications. Therefore, The Board of Education reserves the right to retain or destroy the articles or materials submitted as samples for the purpose of testing. Accordingly, The Board of Education shall be free from any change or claim on the part of the bidder or contractor if any articles or materials furnished as samples are lost or destroyed. Materials such as food may be tested from the raw, uncooked, baked, or canned sample being submitted at the time of bid opening or subsequent to bid opening. Food tests shall consider specification factors such as contents, weight, size, taste, texture, appearance, uniformity of color, and defects, if any. </w:t>
      </w:r>
    </w:p>
    <w:p w:rsidR="001724D5" w:rsidRDefault="00255759">
      <w:pPr>
        <w:pStyle w:val="Heading3"/>
        <w:tabs>
          <w:tab w:val="center" w:pos="390"/>
          <w:tab w:val="center" w:pos="1865"/>
        </w:tabs>
        <w:ind w:left="0" w:firstLine="0"/>
      </w:pPr>
      <w:r>
        <w:rPr>
          <w:rFonts w:ascii="Calibri" w:eastAsia="Calibri" w:hAnsi="Calibri" w:cs="Calibri"/>
          <w:b w:val="0"/>
          <w:sz w:val="22"/>
        </w:rPr>
        <w:tab/>
      </w:r>
      <w:r>
        <w:t>D.</w:t>
      </w:r>
      <w:r>
        <w:rPr>
          <w:rFonts w:ascii="Arial" w:eastAsia="Arial" w:hAnsi="Arial" w:cs="Arial"/>
        </w:rPr>
        <w:t xml:space="preserve"> </w:t>
      </w:r>
      <w:r>
        <w:rPr>
          <w:rFonts w:ascii="Arial" w:eastAsia="Arial" w:hAnsi="Arial" w:cs="Arial"/>
        </w:rPr>
        <w:tab/>
      </w:r>
      <w:r>
        <w:t xml:space="preserve">Retention and Removal of Samples </w:t>
      </w:r>
    </w:p>
    <w:p w:rsidR="001724D5" w:rsidRDefault="00255759">
      <w:pPr>
        <w:spacing w:after="84"/>
        <w:ind w:left="682" w:right="1136"/>
      </w:pPr>
      <w:r>
        <w:t xml:space="preserve">The samples submitted by bidders on items on which it </w:t>
      </w:r>
      <w:proofErr w:type="gramStart"/>
      <w:r>
        <w:t>have</w:t>
      </w:r>
      <w:proofErr w:type="gramEnd"/>
      <w:r>
        <w:t xml:space="preserve"> received an award will be retained by The Board of Education until the delivery of contracted items is completed and accepted. Bidders whose samples are retained will be notified when its samples may be removed. Samples on which bidders are unsuccessful must be removed as soon as possible but not more than 15 calendar days after notification that the award has been made by The Board of Education. The Board of Education will not be responsible for such samples if not removed by the bidder within 15 calendar days after the notification of award has been made. </w:t>
      </w:r>
    </w:p>
    <w:p w:rsidR="001724D5" w:rsidRDefault="00255759">
      <w:pPr>
        <w:pStyle w:val="Heading3"/>
        <w:tabs>
          <w:tab w:val="center" w:pos="385"/>
          <w:tab w:val="center" w:pos="1302"/>
        </w:tabs>
        <w:ind w:left="0" w:firstLine="0"/>
      </w:pPr>
      <w:r>
        <w:rPr>
          <w:rFonts w:ascii="Calibri" w:eastAsia="Calibri" w:hAnsi="Calibri" w:cs="Calibri"/>
          <w:b w:val="0"/>
          <w:sz w:val="22"/>
        </w:rPr>
        <w:lastRenderedPageBreak/>
        <w:tab/>
      </w:r>
      <w:r>
        <w:t>E.</w:t>
      </w:r>
      <w:r>
        <w:rPr>
          <w:rFonts w:ascii="Arial" w:eastAsia="Arial" w:hAnsi="Arial" w:cs="Arial"/>
        </w:rPr>
        <w:t xml:space="preserve"> </w:t>
      </w:r>
      <w:r>
        <w:rPr>
          <w:rFonts w:ascii="Arial" w:eastAsia="Arial" w:hAnsi="Arial" w:cs="Arial"/>
        </w:rPr>
        <w:tab/>
      </w:r>
      <w:r>
        <w:t xml:space="preserve">Sample Quantities </w:t>
      </w:r>
    </w:p>
    <w:p w:rsidR="001724D5" w:rsidRDefault="00255759">
      <w:pPr>
        <w:spacing w:after="82"/>
        <w:ind w:left="682" w:right="1136"/>
      </w:pPr>
      <w:r>
        <w:t xml:space="preserve">Samples are required in the exact packaging and size as stated in the item description unless otherwise indicated in the bid document or it is determined that a smaller quantity is sufficient for adequate testing. </w:t>
      </w:r>
    </w:p>
    <w:p w:rsidR="001724D5" w:rsidRDefault="00255759">
      <w:pPr>
        <w:pStyle w:val="Heading3"/>
        <w:tabs>
          <w:tab w:val="center" w:pos="382"/>
          <w:tab w:val="center" w:pos="1434"/>
        </w:tabs>
        <w:ind w:left="0" w:firstLine="0"/>
      </w:pPr>
      <w:r>
        <w:rPr>
          <w:rFonts w:ascii="Calibri" w:eastAsia="Calibri" w:hAnsi="Calibri" w:cs="Calibri"/>
          <w:b w:val="0"/>
          <w:sz w:val="22"/>
        </w:rPr>
        <w:tab/>
      </w:r>
      <w:r>
        <w:t>F.</w:t>
      </w:r>
      <w:r>
        <w:rPr>
          <w:rFonts w:ascii="Arial" w:eastAsia="Arial" w:hAnsi="Arial" w:cs="Arial"/>
        </w:rPr>
        <w:t xml:space="preserve"> </w:t>
      </w:r>
      <w:r>
        <w:rPr>
          <w:rFonts w:ascii="Arial" w:eastAsia="Arial" w:hAnsi="Arial" w:cs="Arial"/>
        </w:rPr>
        <w:tab/>
      </w:r>
      <w:r>
        <w:t xml:space="preserve">Descriptive Literature </w:t>
      </w:r>
    </w:p>
    <w:p w:rsidR="001724D5" w:rsidRDefault="00255759">
      <w:pPr>
        <w:ind w:left="682" w:right="1136"/>
      </w:pPr>
      <w:r>
        <w:t xml:space="preserve">All bidders are required to furnish with the bid proposal a brochure, properly bound and labeled, showing full illustrations and specifications on each item offered, if bidding other than specified; or if specifically requested. These cuts and specifications are to be arranged and labeled with the item number in the same sequence as the items appear in the specifications and attached on separate pages of a brochure. The cover of the brochure shall contain: </w:t>
      </w:r>
    </w:p>
    <w:p w:rsidR="001724D5" w:rsidRDefault="00255759">
      <w:pPr>
        <w:numPr>
          <w:ilvl w:val="0"/>
          <w:numId w:val="5"/>
        </w:numPr>
        <w:ind w:right="1136" w:hanging="360"/>
      </w:pPr>
      <w:r>
        <w:t xml:space="preserve">Vendor’s name, address, and phone number </w:t>
      </w:r>
    </w:p>
    <w:p w:rsidR="001724D5" w:rsidRDefault="00255759">
      <w:pPr>
        <w:numPr>
          <w:ilvl w:val="0"/>
          <w:numId w:val="5"/>
        </w:numPr>
        <w:spacing w:after="389"/>
        <w:ind w:right="1136" w:hanging="360"/>
      </w:pPr>
      <w:r>
        <w:t xml:space="preserve">Bid number </w:t>
      </w:r>
    </w:p>
    <w:p w:rsidR="001724D5" w:rsidRDefault="00255759">
      <w:pPr>
        <w:pStyle w:val="Heading2"/>
        <w:tabs>
          <w:tab w:val="center" w:pos="1403"/>
        </w:tabs>
        <w:spacing w:after="181"/>
        <w:ind w:left="0" w:firstLine="0"/>
        <w:jc w:val="left"/>
      </w:pPr>
      <w:r>
        <w:t>XXV.</w:t>
      </w:r>
      <w:r>
        <w:rPr>
          <w:rFonts w:ascii="Arial" w:eastAsia="Arial" w:hAnsi="Arial" w:cs="Arial"/>
        </w:rPr>
        <w:t xml:space="preserve"> </w:t>
      </w:r>
      <w:r>
        <w:rPr>
          <w:rFonts w:ascii="Arial" w:eastAsia="Arial" w:hAnsi="Arial" w:cs="Arial"/>
        </w:rPr>
        <w:tab/>
      </w:r>
      <w:r>
        <w:t xml:space="preserve">Time of Completion </w:t>
      </w:r>
    </w:p>
    <w:p w:rsidR="001724D5" w:rsidRDefault="00255759">
      <w:pPr>
        <w:ind w:left="10" w:right="0"/>
      </w:pPr>
      <w:r>
        <w:t xml:space="preserve">The Board of Education reserves the right to revise the starting and completion dates for delivery and installation of equipment to new schools and additions as stated below if the bid is wholly or in part for the furnishing of new schools and additions to existing buildings. At least 60 days prior to the date scheduled for delivery and installation for each project, the Board of Education will notify the contractor whether or not any change will be required in the dates for the beginning and completion of delivery. The right is reserved to specify beginning dates and completion dates two weeks earlier than listed above or to postpone the beginning and completion dates for not more than 30 days later than the dates as listed. These changes in delivery dates, if any, for new schools and additions to older buildings will be applicable to individual projects as specified and not to all projects as a whole. The estimated dates on which deliveries may be begun and which time deliveries and installations must be completed have been estimated as carefully as possible; and if any change is required by circumstances beyond the control of the Board of Education, the revised delivery dates as established by the procedures outlined immediately above will become the definite schedule for completion of the contract as if it had been set in the original schedule as outlined. </w:t>
      </w:r>
    </w:p>
    <w:p w:rsidR="001724D5" w:rsidRDefault="00255759">
      <w:pPr>
        <w:spacing w:after="0" w:line="259" w:lineRule="auto"/>
        <w:ind w:left="0" w:right="0" w:firstLine="0"/>
        <w:jc w:val="left"/>
      </w:pPr>
      <w:r>
        <w:t xml:space="preserve"> </w:t>
      </w:r>
    </w:p>
    <w:p w:rsidR="001724D5" w:rsidRDefault="00255759">
      <w:pPr>
        <w:spacing w:after="3" w:line="259" w:lineRule="auto"/>
        <w:ind w:left="0" w:right="0" w:firstLine="0"/>
        <w:jc w:val="left"/>
      </w:pPr>
      <w:r>
        <w:t xml:space="preserve"> </w:t>
      </w:r>
    </w:p>
    <w:p w:rsidR="001724D5" w:rsidRDefault="00255759">
      <w:pPr>
        <w:pStyle w:val="Heading2"/>
        <w:spacing w:after="51"/>
        <w:ind w:left="641" w:right="835"/>
      </w:pPr>
      <w:r>
        <w:t>XXVI.</w:t>
      </w:r>
      <w:r>
        <w:rPr>
          <w:rFonts w:ascii="Arial" w:eastAsia="Arial" w:hAnsi="Arial" w:cs="Arial"/>
        </w:rPr>
        <w:t xml:space="preserve"> </w:t>
      </w:r>
      <w:r>
        <w:t xml:space="preserve">Guarantee </w:t>
      </w:r>
    </w:p>
    <w:p w:rsidR="001724D5" w:rsidRDefault="00255759">
      <w:pPr>
        <w:spacing w:after="78"/>
        <w:ind w:left="641" w:right="75"/>
      </w:pPr>
      <w:r>
        <w:t>The contractor shall unconditionally guarantee the materials and workmanship on all equipment furnished by it for a period of one year from date of acceptance of the items delivered and installed. If, within the guarantee period, any defects or signs of deterioration are noted which in the opinion of The Board of Education are due to faulty design and installation, workmanship, or materials, upon ratification, the contractor, at its expense, shall repair or adjust the equipment or parts to correct the condition: or it shall replace the part or entire unit to the complete satisfaction of the Board of Education. These repairs, replacements, or adjustments shall be made only at such times as will be designated by the Board of Education as least detrimental to the instructional programs</w:t>
      </w:r>
      <w:r>
        <w:rPr>
          <w:b/>
          <w:sz w:val="18"/>
        </w:rPr>
        <w:t xml:space="preserve">. </w:t>
      </w:r>
    </w:p>
    <w:p w:rsidR="001724D5" w:rsidRDefault="00255759">
      <w:pPr>
        <w:spacing w:after="60" w:line="259" w:lineRule="auto"/>
        <w:ind w:left="631" w:right="0" w:firstLine="0"/>
        <w:jc w:val="left"/>
      </w:pPr>
      <w:r>
        <w:rPr>
          <w:b/>
          <w:sz w:val="18"/>
        </w:rPr>
        <w:t xml:space="preserve"> </w:t>
      </w:r>
    </w:p>
    <w:p w:rsidR="001724D5" w:rsidRDefault="00255759">
      <w:pPr>
        <w:pStyle w:val="Heading2"/>
        <w:tabs>
          <w:tab w:val="center" w:pos="918"/>
          <w:tab w:val="center" w:pos="2135"/>
        </w:tabs>
        <w:spacing w:after="56"/>
        <w:ind w:left="0" w:firstLine="0"/>
        <w:jc w:val="left"/>
      </w:pPr>
      <w:r>
        <w:rPr>
          <w:rFonts w:ascii="Calibri" w:eastAsia="Calibri" w:hAnsi="Calibri" w:cs="Calibri"/>
          <w:b w:val="0"/>
          <w:sz w:val="22"/>
        </w:rPr>
        <w:tab/>
      </w:r>
      <w:r>
        <w:t xml:space="preserve">XXVII. </w:t>
      </w:r>
      <w:r>
        <w:tab/>
        <w:t xml:space="preserve">Signature </w:t>
      </w:r>
      <w:proofErr w:type="gramStart"/>
      <w:r>
        <w:t>To</w:t>
      </w:r>
      <w:proofErr w:type="gramEnd"/>
      <w:r>
        <w:t xml:space="preserve"> Bids </w:t>
      </w:r>
    </w:p>
    <w:p w:rsidR="001724D5" w:rsidRDefault="00255759">
      <w:pPr>
        <w:spacing w:after="72"/>
        <w:ind w:left="644" w:right="39"/>
      </w:pPr>
      <w:r>
        <w:t xml:space="preserve">Each bid must show the full business address and telephone number of the bidder and be signed by the person or persons legally authorized to sign contracts. All correspondence concerning the bid and contract, including Notice of Award, Copy of Contract, and Purchase Order, will be mailed or delivered to the address shown on the bid in the absence of written instructions from the bidder or contractor to the contrary. Bids by partnerships must be signed with the partnership name by one of the members of the partnership or by an authorized representative, followed by the signature and designation of the person signing, who shall also state the names of individuals composing the partnership. Bids by corporations must be signed with the name of the corporation, followed by the signature and designation of the officer having authority to sign. When required, satisfactory evidence of authority of the officer signing in behalf of the corporation shall be furnished. Anyone signing the bid as agent shall file satisfactory evidence of its authority to do so. </w:t>
      </w:r>
    </w:p>
    <w:p w:rsidR="001724D5" w:rsidRDefault="00255759">
      <w:pPr>
        <w:spacing w:after="82" w:line="259" w:lineRule="auto"/>
        <w:ind w:left="634" w:right="0" w:firstLine="0"/>
        <w:jc w:val="left"/>
      </w:pPr>
      <w:r>
        <w:t xml:space="preserve"> </w:t>
      </w:r>
    </w:p>
    <w:p w:rsidR="001724D5" w:rsidRDefault="00255759">
      <w:pPr>
        <w:pStyle w:val="Heading2"/>
        <w:spacing w:after="51"/>
        <w:ind w:left="644" w:right="835"/>
      </w:pPr>
      <w:r>
        <w:t xml:space="preserve">XXVIII. Errors </w:t>
      </w:r>
      <w:proofErr w:type="gramStart"/>
      <w:r>
        <w:t>In</w:t>
      </w:r>
      <w:proofErr w:type="gramEnd"/>
      <w:r>
        <w:t xml:space="preserve"> Bids </w:t>
      </w:r>
    </w:p>
    <w:p w:rsidR="001724D5" w:rsidRDefault="00255759">
      <w:pPr>
        <w:spacing w:after="92"/>
        <w:ind w:left="644" w:right="40"/>
      </w:pPr>
      <w:r>
        <w:t xml:space="preserve">Bidders, or its authorized representatives, are expected to fully inform themselves as to the conditions, requirements, and specifications before submitting bids; failure to do so will be at the bidder’s own risk and the bidder cannot secure relief on the plea of error. Neither law nor regulations make allowance for errors either of omission or commission on the part of the bidders </w:t>
      </w:r>
    </w:p>
    <w:p w:rsidR="001724D5" w:rsidRDefault="00255759">
      <w:pPr>
        <w:spacing w:after="63" w:line="259" w:lineRule="auto"/>
        <w:ind w:left="634" w:right="0" w:firstLine="0"/>
        <w:jc w:val="left"/>
      </w:pPr>
      <w:r>
        <w:rPr>
          <w:b/>
          <w:sz w:val="18"/>
        </w:rPr>
        <w:t xml:space="preserve"> </w:t>
      </w:r>
    </w:p>
    <w:p w:rsidR="001724D5" w:rsidRDefault="00255759">
      <w:pPr>
        <w:pStyle w:val="Heading2"/>
        <w:tabs>
          <w:tab w:val="center" w:pos="885"/>
          <w:tab w:val="center" w:pos="2369"/>
        </w:tabs>
        <w:spacing w:after="56"/>
        <w:ind w:left="0" w:firstLine="0"/>
        <w:jc w:val="left"/>
      </w:pPr>
      <w:r>
        <w:rPr>
          <w:rFonts w:ascii="Calibri" w:eastAsia="Calibri" w:hAnsi="Calibri" w:cs="Calibri"/>
          <w:b w:val="0"/>
          <w:sz w:val="22"/>
        </w:rPr>
        <w:tab/>
      </w:r>
      <w:r>
        <w:t xml:space="preserve">XXIX. </w:t>
      </w:r>
      <w:r>
        <w:tab/>
        <w:t xml:space="preserve">Resolution and Disputes </w:t>
      </w:r>
    </w:p>
    <w:p w:rsidR="001724D5" w:rsidRDefault="00255759">
      <w:pPr>
        <w:spacing w:after="92"/>
        <w:ind w:left="644" w:right="740"/>
      </w:pPr>
      <w:r>
        <w:t xml:space="preserve">Bidders who have any concerns regarding the recommended awards of this solicitation should promptly contact the buyer in the </w:t>
      </w:r>
      <w:r w:rsidR="005B74AD">
        <w:t>Department</w:t>
      </w:r>
      <w:r>
        <w:t xml:space="preserve"> of Procurement before the scheduled Board action. Any concerns that cannot be resolved informally with the buyer should be addressed to the senior buyer of the </w:t>
      </w:r>
      <w:r w:rsidR="005B74AD">
        <w:t>Department</w:t>
      </w:r>
      <w:r>
        <w:t xml:space="preserve"> of Procurement. The senior buyer of the </w:t>
      </w:r>
      <w:r w:rsidR="005B74AD">
        <w:t>Department</w:t>
      </w:r>
      <w:r>
        <w:t xml:space="preserve"> of Procurement shall attempt to resolve, informally, all protests or complaints regarding bid award recommendations. Any formal protest must be filed with the senior buyer of the </w:t>
      </w:r>
      <w:r w:rsidR="005B74AD">
        <w:t>Department</w:t>
      </w:r>
      <w:r>
        <w:t xml:space="preserve"> of Procurement within seven (7) calendar days of the date of the pre-award notice </w:t>
      </w:r>
    </w:p>
    <w:p w:rsidR="001724D5" w:rsidRDefault="00255759">
      <w:pPr>
        <w:spacing w:after="60" w:line="259" w:lineRule="auto"/>
        <w:ind w:left="634" w:right="0" w:firstLine="0"/>
        <w:jc w:val="left"/>
      </w:pPr>
      <w:r>
        <w:rPr>
          <w:b/>
          <w:sz w:val="18"/>
        </w:rPr>
        <w:t xml:space="preserve"> </w:t>
      </w:r>
    </w:p>
    <w:p w:rsidR="001724D5" w:rsidRDefault="00255759">
      <w:pPr>
        <w:pStyle w:val="Heading2"/>
        <w:tabs>
          <w:tab w:val="center" w:pos="850"/>
          <w:tab w:val="center" w:pos="1790"/>
        </w:tabs>
        <w:spacing w:after="8"/>
        <w:ind w:left="0" w:firstLine="0"/>
        <w:jc w:val="left"/>
      </w:pPr>
      <w:r>
        <w:rPr>
          <w:rFonts w:ascii="Calibri" w:eastAsia="Calibri" w:hAnsi="Calibri" w:cs="Calibri"/>
          <w:b w:val="0"/>
          <w:sz w:val="22"/>
        </w:rPr>
        <w:tab/>
      </w:r>
      <w:r>
        <w:t xml:space="preserve">XXX. </w:t>
      </w:r>
      <w:r>
        <w:tab/>
        <w:t xml:space="preserve">Inquiries </w:t>
      </w:r>
    </w:p>
    <w:p w:rsidR="001724D5" w:rsidRDefault="00255759">
      <w:pPr>
        <w:spacing w:after="73" w:line="249" w:lineRule="auto"/>
        <w:ind w:left="12" w:right="835"/>
      </w:pPr>
      <w:r>
        <w:rPr>
          <w:b/>
          <w:sz w:val="18"/>
        </w:rPr>
        <w:t xml:space="preserve">Should any bidder have any question as to the intent or meaning of any part of this bid, it must contact the undersigned to receive a written reply before submitting its bid. Inquires must be submitted in writing no later than four business days prior to bid opening date. </w:t>
      </w:r>
    </w:p>
    <w:p w:rsidR="001724D5" w:rsidRDefault="00255759">
      <w:pPr>
        <w:spacing w:after="52" w:line="259" w:lineRule="auto"/>
        <w:ind w:left="2" w:right="0" w:firstLine="0"/>
        <w:jc w:val="left"/>
      </w:pPr>
      <w:r>
        <w:rPr>
          <w:b/>
          <w:sz w:val="18"/>
        </w:rPr>
        <w:t xml:space="preserve"> </w:t>
      </w:r>
    </w:p>
    <w:p w:rsidR="001724D5" w:rsidRDefault="00255759">
      <w:pPr>
        <w:spacing w:after="24" w:line="259" w:lineRule="auto"/>
        <w:ind w:left="0" w:right="2477" w:firstLine="0"/>
        <w:jc w:val="center"/>
      </w:pPr>
      <w:r>
        <w:rPr>
          <w:noProof/>
        </w:rPr>
        <w:drawing>
          <wp:inline distT="0" distB="0" distL="0" distR="0">
            <wp:extent cx="1838325" cy="552450"/>
            <wp:effectExtent l="0" t="0" r="0" b="0"/>
            <wp:docPr id="2148" name="Picture 2148"/>
            <wp:cNvGraphicFramePr/>
            <a:graphic xmlns:a="http://schemas.openxmlformats.org/drawingml/2006/main">
              <a:graphicData uri="http://schemas.openxmlformats.org/drawingml/2006/picture">
                <pic:pic xmlns:pic="http://schemas.openxmlformats.org/drawingml/2006/picture">
                  <pic:nvPicPr>
                    <pic:cNvPr id="2148" name="Picture 2148"/>
                    <pic:cNvPicPr/>
                  </pic:nvPicPr>
                  <pic:blipFill>
                    <a:blip r:embed="rId5"/>
                    <a:stretch>
                      <a:fillRect/>
                    </a:stretch>
                  </pic:blipFill>
                  <pic:spPr>
                    <a:xfrm>
                      <a:off x="0" y="0"/>
                      <a:ext cx="1838325" cy="552450"/>
                    </a:xfrm>
                    <a:prstGeom prst="rect">
                      <a:avLst/>
                    </a:prstGeom>
                  </pic:spPr>
                </pic:pic>
              </a:graphicData>
            </a:graphic>
          </wp:inline>
        </w:drawing>
      </w:r>
      <w:r>
        <w:rPr>
          <w:b/>
          <w:sz w:val="18"/>
        </w:rPr>
        <w:t xml:space="preserve"> </w:t>
      </w:r>
    </w:p>
    <w:p w:rsidR="001724D5" w:rsidRDefault="00255759">
      <w:pPr>
        <w:spacing w:after="0" w:line="259" w:lineRule="auto"/>
        <w:ind w:left="2" w:right="0" w:firstLine="0"/>
        <w:jc w:val="left"/>
      </w:pPr>
      <w:r>
        <w:rPr>
          <w:b/>
          <w:sz w:val="18"/>
        </w:rPr>
        <w:t xml:space="preserve"> </w:t>
      </w:r>
    </w:p>
    <w:p w:rsidR="001724D5" w:rsidRDefault="00255759">
      <w:pPr>
        <w:spacing w:after="0" w:line="259" w:lineRule="auto"/>
        <w:ind w:left="305" w:right="0"/>
        <w:jc w:val="left"/>
      </w:pPr>
      <w:r>
        <w:rPr>
          <w:sz w:val="18"/>
        </w:rPr>
        <w:t xml:space="preserve">Angela McIntosh-Davis </w:t>
      </w:r>
    </w:p>
    <w:p w:rsidR="001724D5" w:rsidRDefault="00255759">
      <w:pPr>
        <w:spacing w:after="65" w:line="259" w:lineRule="auto"/>
        <w:ind w:left="305" w:right="0"/>
        <w:jc w:val="left"/>
      </w:pPr>
      <w:r>
        <w:rPr>
          <w:sz w:val="18"/>
        </w:rPr>
        <w:t xml:space="preserve">Director, </w:t>
      </w:r>
      <w:r w:rsidR="005B74AD">
        <w:rPr>
          <w:sz w:val="18"/>
        </w:rPr>
        <w:t>Department</w:t>
      </w:r>
      <w:r>
        <w:rPr>
          <w:sz w:val="18"/>
        </w:rPr>
        <w:t xml:space="preserve"> of Procurement </w:t>
      </w:r>
    </w:p>
    <w:p w:rsidR="001724D5" w:rsidRDefault="00255759">
      <w:pPr>
        <w:spacing w:after="60" w:line="259" w:lineRule="auto"/>
        <w:ind w:left="2" w:right="0" w:firstLine="0"/>
        <w:jc w:val="left"/>
      </w:pPr>
      <w:r>
        <w:rPr>
          <w:b/>
          <w:sz w:val="18"/>
        </w:rPr>
        <w:t xml:space="preserve"> </w:t>
      </w:r>
    </w:p>
    <w:p w:rsidR="001724D5" w:rsidRDefault="00255759">
      <w:pPr>
        <w:spacing w:after="0" w:line="259" w:lineRule="auto"/>
        <w:ind w:left="0" w:right="0" w:firstLine="0"/>
        <w:jc w:val="left"/>
      </w:pPr>
      <w:r>
        <w:rPr>
          <w:b/>
          <w:sz w:val="18"/>
        </w:rPr>
        <w:t xml:space="preserve"> </w:t>
      </w:r>
    </w:p>
    <w:p w:rsidR="001724D5" w:rsidRDefault="001724D5">
      <w:pPr>
        <w:sectPr w:rsidR="001724D5">
          <w:type w:val="continuous"/>
          <w:pgSz w:w="12240" w:h="15840"/>
          <w:pgMar w:top="1232" w:right="369" w:bottom="374" w:left="504" w:header="720" w:footer="720" w:gutter="0"/>
          <w:cols w:num="2" w:space="720" w:equalWidth="0">
            <w:col w:w="5551" w:space="608"/>
            <w:col w:w="5207"/>
          </w:cols>
        </w:sectPr>
      </w:pPr>
    </w:p>
    <w:p w:rsidR="001724D5" w:rsidRDefault="00255759">
      <w:pPr>
        <w:spacing w:after="0" w:line="259" w:lineRule="auto"/>
        <w:ind w:left="0" w:right="0" w:firstLine="0"/>
        <w:jc w:val="left"/>
      </w:pPr>
      <w:r>
        <w:rPr>
          <w:sz w:val="18"/>
        </w:rPr>
        <w:lastRenderedPageBreak/>
        <w:t xml:space="preserve"> </w:t>
      </w:r>
    </w:p>
    <w:p w:rsidR="001724D5" w:rsidRDefault="00255759">
      <w:pPr>
        <w:spacing w:after="133" w:line="259" w:lineRule="auto"/>
        <w:ind w:left="0" w:right="0" w:firstLine="0"/>
        <w:jc w:val="left"/>
      </w:pPr>
      <w:r>
        <w:t xml:space="preserve"> </w:t>
      </w:r>
    </w:p>
    <w:p w:rsidR="001724D5" w:rsidRDefault="00255759">
      <w:pPr>
        <w:pStyle w:val="Heading1"/>
        <w:spacing w:after="55"/>
      </w:pPr>
      <w:r>
        <w:t xml:space="preserve">MONTGOMERY COUNTY PUBLIC SCHOOLS </w:t>
      </w:r>
    </w:p>
    <w:p w:rsidR="001724D5" w:rsidRDefault="005B74AD">
      <w:pPr>
        <w:spacing w:after="11" w:line="249" w:lineRule="auto"/>
        <w:ind w:left="3451" w:right="2417"/>
        <w:jc w:val="center"/>
      </w:pPr>
      <w:r>
        <w:rPr>
          <w:b/>
          <w:sz w:val="24"/>
        </w:rPr>
        <w:t>DEPARTMENT</w:t>
      </w:r>
      <w:r w:rsidR="00255759">
        <w:rPr>
          <w:b/>
          <w:sz w:val="24"/>
        </w:rPr>
        <w:t xml:space="preserve"> OF PROCUREMENT </w:t>
      </w:r>
    </w:p>
    <w:p w:rsidR="001724D5" w:rsidRDefault="00255759">
      <w:pPr>
        <w:spacing w:after="11" w:line="249" w:lineRule="auto"/>
        <w:ind w:left="3451" w:right="2353"/>
        <w:jc w:val="center"/>
      </w:pPr>
      <w:r>
        <w:rPr>
          <w:b/>
          <w:sz w:val="24"/>
        </w:rPr>
        <w:t xml:space="preserve">45 West Gude Drive, Suite 3100 Rockville, MD 20850-9999 </w:t>
      </w:r>
    </w:p>
    <w:p w:rsidR="001724D5" w:rsidRDefault="00255759">
      <w:pPr>
        <w:spacing w:after="0" w:line="259" w:lineRule="auto"/>
        <w:ind w:left="0" w:right="0" w:firstLine="0"/>
        <w:jc w:val="left"/>
      </w:pPr>
      <w:r>
        <w:rPr>
          <w:b/>
          <w:sz w:val="26"/>
        </w:rPr>
        <w:t xml:space="preserve"> </w:t>
      </w:r>
    </w:p>
    <w:p w:rsidR="001724D5" w:rsidRDefault="00255759">
      <w:pPr>
        <w:spacing w:after="5" w:line="259" w:lineRule="auto"/>
        <w:ind w:left="0" w:right="0" w:firstLine="0"/>
        <w:jc w:val="left"/>
      </w:pPr>
      <w:r>
        <w:rPr>
          <w:b/>
          <w:sz w:val="21"/>
        </w:rPr>
        <w:t xml:space="preserve"> </w:t>
      </w:r>
    </w:p>
    <w:p w:rsidR="001724D5" w:rsidRDefault="00255759">
      <w:pPr>
        <w:pStyle w:val="Heading1"/>
        <w:ind w:left="2125"/>
      </w:pPr>
      <w:r>
        <w:t xml:space="preserve">SPECIAL INSTRUCTIONS TO VENDORS FOR MAILING BIDS </w:t>
      </w:r>
    </w:p>
    <w:p w:rsidR="001724D5" w:rsidRDefault="00255759">
      <w:pPr>
        <w:spacing w:after="0" w:line="259" w:lineRule="auto"/>
        <w:ind w:left="0" w:right="0" w:firstLine="0"/>
        <w:jc w:val="left"/>
      </w:pPr>
      <w:r>
        <w:rPr>
          <w:b/>
          <w:sz w:val="24"/>
        </w:rPr>
        <w:t xml:space="preserve"> </w:t>
      </w:r>
    </w:p>
    <w:p w:rsidR="001724D5" w:rsidRDefault="00255759">
      <w:pPr>
        <w:spacing w:after="0" w:line="259" w:lineRule="auto"/>
        <w:ind w:left="504" w:right="0"/>
        <w:jc w:val="left"/>
      </w:pPr>
      <w:r>
        <w:rPr>
          <w:b/>
          <w:sz w:val="24"/>
        </w:rPr>
        <w:t xml:space="preserve">Bids must be delivered in sealed, opaque envelopes, and labeled clearly as follows: </w:t>
      </w:r>
    </w:p>
    <w:p w:rsidR="001724D5" w:rsidRDefault="00255759">
      <w:pPr>
        <w:spacing w:after="0" w:line="259" w:lineRule="auto"/>
        <w:ind w:left="0" w:right="0" w:firstLine="0"/>
        <w:jc w:val="left"/>
      </w:pPr>
      <w:r>
        <w:rPr>
          <w:b/>
          <w:sz w:val="26"/>
        </w:rPr>
        <w:t xml:space="preserve"> </w:t>
      </w:r>
    </w:p>
    <w:p w:rsidR="001724D5" w:rsidRDefault="00255759">
      <w:pPr>
        <w:spacing w:after="0" w:line="259" w:lineRule="auto"/>
        <w:ind w:left="0" w:right="0" w:firstLine="0"/>
        <w:jc w:val="left"/>
      </w:pPr>
      <w:r>
        <w:rPr>
          <w:b/>
          <w:sz w:val="22"/>
        </w:rPr>
        <w:t xml:space="preserve"> </w:t>
      </w:r>
    </w:p>
    <w:p w:rsidR="001724D5" w:rsidRDefault="00255759">
      <w:pPr>
        <w:spacing w:after="0" w:line="259" w:lineRule="auto"/>
        <w:ind w:left="1022" w:right="0" w:firstLine="0"/>
        <w:jc w:val="center"/>
      </w:pPr>
      <w:r>
        <w:rPr>
          <w:b/>
          <w:sz w:val="24"/>
          <w:u w:val="single" w:color="000000"/>
        </w:rPr>
        <w:t>SAMPLE BID RESPONSE ENVELOPE</w:t>
      </w:r>
      <w:r>
        <w:rPr>
          <w:b/>
          <w:sz w:val="24"/>
        </w:rPr>
        <w:t xml:space="preserve"> </w:t>
      </w:r>
    </w:p>
    <w:p w:rsidR="001724D5" w:rsidRDefault="00255759">
      <w:pPr>
        <w:spacing w:after="0" w:line="259" w:lineRule="auto"/>
        <w:ind w:left="0" w:right="0" w:firstLine="0"/>
        <w:jc w:val="left"/>
      </w:pPr>
      <w:r>
        <w:rPr>
          <w:b/>
          <w:sz w:val="20"/>
        </w:rPr>
        <w:t xml:space="preserve"> </w:t>
      </w:r>
    </w:p>
    <w:p w:rsidR="001724D5" w:rsidRDefault="00255759">
      <w:pPr>
        <w:spacing w:after="53" w:line="259" w:lineRule="auto"/>
        <w:ind w:left="0" w:right="0" w:firstLine="0"/>
        <w:jc w:val="left"/>
      </w:pPr>
      <w:r>
        <w:rPr>
          <w:b/>
          <w:sz w:val="20"/>
        </w:rPr>
        <w:t xml:space="preserve"> </w:t>
      </w:r>
    </w:p>
    <w:p w:rsidR="001724D5" w:rsidRDefault="00255759">
      <w:pPr>
        <w:spacing w:after="0" w:line="259" w:lineRule="auto"/>
        <w:ind w:left="0" w:right="0" w:firstLine="0"/>
        <w:jc w:val="left"/>
      </w:pPr>
      <w:r>
        <w:rPr>
          <w:b/>
          <w:sz w:val="27"/>
        </w:rPr>
        <w:t xml:space="preserve"> </w:t>
      </w:r>
    </w:p>
    <w:p w:rsidR="001724D5" w:rsidRDefault="00255759">
      <w:pPr>
        <w:spacing w:after="26" w:line="259" w:lineRule="auto"/>
        <w:ind w:left="504" w:right="-459" w:firstLine="0"/>
        <w:jc w:val="left"/>
      </w:pPr>
      <w:r>
        <w:rPr>
          <w:rFonts w:ascii="Calibri" w:eastAsia="Calibri" w:hAnsi="Calibri" w:cs="Calibri"/>
          <w:noProof/>
          <w:sz w:val="22"/>
        </w:rPr>
        <mc:AlternateContent>
          <mc:Choice Requires="wpg">
            <w:drawing>
              <wp:inline distT="0" distB="0" distL="0" distR="0">
                <wp:extent cx="6402070" cy="15240"/>
                <wp:effectExtent l="0" t="0" r="0" b="0"/>
                <wp:docPr id="14077" name="Group 14077"/>
                <wp:cNvGraphicFramePr/>
                <a:graphic xmlns:a="http://schemas.openxmlformats.org/drawingml/2006/main">
                  <a:graphicData uri="http://schemas.microsoft.com/office/word/2010/wordprocessingGroup">
                    <wpg:wgp>
                      <wpg:cNvGrpSpPr/>
                      <wpg:grpSpPr>
                        <a:xfrm>
                          <a:off x="0" y="0"/>
                          <a:ext cx="6402070" cy="15240"/>
                          <a:chOff x="0" y="0"/>
                          <a:chExt cx="6402070" cy="15240"/>
                        </a:xfrm>
                      </wpg:grpSpPr>
                      <wps:wsp>
                        <wps:cNvPr id="2267" name="Shape 2267"/>
                        <wps:cNvSpPr/>
                        <wps:spPr>
                          <a:xfrm>
                            <a:off x="0" y="0"/>
                            <a:ext cx="6402070" cy="0"/>
                          </a:xfrm>
                          <a:custGeom>
                            <a:avLst/>
                            <a:gdLst/>
                            <a:ahLst/>
                            <a:cxnLst/>
                            <a:rect l="0" t="0" r="0" b="0"/>
                            <a:pathLst>
                              <a:path w="6402070">
                                <a:moveTo>
                                  <a:pt x="0" y="0"/>
                                </a:moveTo>
                                <a:lnTo>
                                  <a:pt x="6402070" y="0"/>
                                </a:lnTo>
                              </a:path>
                            </a:pathLst>
                          </a:custGeom>
                          <a:ln w="1524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77" style="width:504.1pt;height:1.2pt;mso-position-horizontal-relative:char;mso-position-vertical-relative:line" coordsize="64020,152">
                <v:shape id="Shape 2267" style="position:absolute;width:64020;height:0;left:0;top:0;" coordsize="6402070,0" path="m0,0l6402070,0">
                  <v:stroke weight="1.2pt" endcap="flat" joinstyle="round" on="true" color="#000000"/>
                  <v:fill on="false" color="#000000" opacity="0"/>
                </v:shape>
              </v:group>
            </w:pict>
          </mc:Fallback>
        </mc:AlternateContent>
      </w:r>
    </w:p>
    <w:p w:rsidR="001724D5" w:rsidRDefault="00255759">
      <w:pPr>
        <w:spacing w:after="20" w:line="259" w:lineRule="auto"/>
        <w:ind w:left="0" w:right="0" w:firstLine="0"/>
        <w:jc w:val="left"/>
      </w:pPr>
      <w:r>
        <w:rPr>
          <w:b/>
          <w:sz w:val="20"/>
        </w:rPr>
        <w:t xml:space="preserve"> </w:t>
      </w:r>
    </w:p>
    <w:p w:rsidR="001724D5" w:rsidRDefault="00255759">
      <w:pPr>
        <w:spacing w:after="63" w:line="259" w:lineRule="auto"/>
        <w:ind w:left="0" w:right="0" w:firstLine="0"/>
        <w:jc w:val="left"/>
      </w:pPr>
      <w:r>
        <w:rPr>
          <w:b/>
          <w:sz w:val="24"/>
        </w:rPr>
        <w:t xml:space="preserve"> </w:t>
      </w:r>
    </w:p>
    <w:p w:rsidR="001724D5" w:rsidRDefault="00255759">
      <w:pPr>
        <w:tabs>
          <w:tab w:val="center" w:pos="1304"/>
          <w:tab w:val="center" w:pos="2400"/>
        </w:tabs>
        <w:spacing w:after="0" w:line="259" w:lineRule="auto"/>
        <w:ind w:left="0" w:right="0" w:firstLine="0"/>
        <w:jc w:val="left"/>
      </w:pPr>
      <w:r>
        <w:rPr>
          <w:rFonts w:ascii="Calibri" w:eastAsia="Calibri" w:hAnsi="Calibri" w:cs="Calibri"/>
          <w:sz w:val="22"/>
        </w:rPr>
        <w:tab/>
      </w:r>
      <w:r>
        <w:rPr>
          <w:rFonts w:ascii="Century Gothic" w:eastAsia="Century Gothic" w:hAnsi="Century Gothic" w:cs="Century Gothic"/>
          <w:sz w:val="20"/>
          <w:u w:val="single" w:color="000000"/>
        </w:rPr>
        <w:t xml:space="preserve">    (</w:t>
      </w:r>
      <w:r>
        <w:rPr>
          <w:sz w:val="20"/>
          <w:u w:val="single" w:color="000000"/>
        </w:rPr>
        <w:t>Return Address</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rsidR="001724D5" w:rsidRDefault="00255759">
      <w:pPr>
        <w:spacing w:after="0" w:line="259" w:lineRule="auto"/>
        <w:ind w:left="0" w:right="0" w:firstLine="0"/>
        <w:jc w:val="left"/>
      </w:pPr>
      <w:r>
        <w:rPr>
          <w:rFonts w:ascii="Century Gothic" w:eastAsia="Century Gothic" w:hAnsi="Century Gothic" w:cs="Century Gothic"/>
          <w:sz w:val="19"/>
        </w:rPr>
        <w:t xml:space="preserve"> </w:t>
      </w:r>
    </w:p>
    <w:p w:rsidR="001724D5" w:rsidRDefault="00255759">
      <w:pPr>
        <w:tabs>
          <w:tab w:val="center" w:pos="1450"/>
        </w:tabs>
        <w:spacing w:after="39" w:line="259" w:lineRule="auto"/>
        <w:ind w:left="0" w:right="0" w:firstLine="0"/>
        <w:jc w:val="left"/>
      </w:pPr>
      <w:r>
        <w:rPr>
          <w:rFonts w:ascii="Century Gothic" w:eastAsia="Century Gothic" w:hAnsi="Century Gothic" w:cs="Century Gothic"/>
          <w:sz w:val="17"/>
        </w:rPr>
        <w:t xml:space="preserve"> </w:t>
      </w:r>
      <w:r>
        <w:rPr>
          <w:rFonts w:ascii="Century Gothic" w:eastAsia="Century Gothic" w:hAnsi="Century Gothic" w:cs="Century Gothic"/>
          <w:sz w:val="17"/>
        </w:rPr>
        <w:tab/>
      </w:r>
      <w:r>
        <w:rPr>
          <w:rFonts w:ascii="Calibri" w:eastAsia="Calibri" w:hAnsi="Calibri" w:cs="Calibri"/>
          <w:noProof/>
          <w:sz w:val="22"/>
        </w:rPr>
        <mc:AlternateContent>
          <mc:Choice Requires="wpg">
            <w:drawing>
              <wp:inline distT="0" distB="0" distL="0" distR="0">
                <wp:extent cx="1201420" cy="186055"/>
                <wp:effectExtent l="0" t="0" r="0" b="0"/>
                <wp:docPr id="14078" name="Group 14078"/>
                <wp:cNvGraphicFramePr/>
                <a:graphic xmlns:a="http://schemas.openxmlformats.org/drawingml/2006/main">
                  <a:graphicData uri="http://schemas.microsoft.com/office/word/2010/wordprocessingGroup">
                    <wpg:wgp>
                      <wpg:cNvGrpSpPr/>
                      <wpg:grpSpPr>
                        <a:xfrm>
                          <a:off x="0" y="0"/>
                          <a:ext cx="1201420" cy="186055"/>
                          <a:chOff x="0" y="0"/>
                          <a:chExt cx="1201420" cy="186055"/>
                        </a:xfrm>
                      </wpg:grpSpPr>
                      <wps:wsp>
                        <wps:cNvPr id="2268" name="Shape 2268"/>
                        <wps:cNvSpPr/>
                        <wps:spPr>
                          <a:xfrm>
                            <a:off x="0" y="0"/>
                            <a:ext cx="1201420" cy="0"/>
                          </a:xfrm>
                          <a:custGeom>
                            <a:avLst/>
                            <a:gdLst/>
                            <a:ahLst/>
                            <a:cxnLst/>
                            <a:rect l="0" t="0" r="0" b="0"/>
                            <a:pathLst>
                              <a:path w="1201420">
                                <a:moveTo>
                                  <a:pt x="0" y="0"/>
                                </a:moveTo>
                                <a:lnTo>
                                  <a:pt x="120142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69" name="Shape 2269"/>
                        <wps:cNvSpPr/>
                        <wps:spPr>
                          <a:xfrm>
                            <a:off x="0" y="186055"/>
                            <a:ext cx="1201420" cy="0"/>
                          </a:xfrm>
                          <a:custGeom>
                            <a:avLst/>
                            <a:gdLst/>
                            <a:ahLst/>
                            <a:cxnLst/>
                            <a:rect l="0" t="0" r="0" b="0"/>
                            <a:pathLst>
                              <a:path w="1201420">
                                <a:moveTo>
                                  <a:pt x="0" y="0"/>
                                </a:moveTo>
                                <a:lnTo>
                                  <a:pt x="120142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78" style="width:94.6pt;height:14.65pt;mso-position-horizontal-relative:char;mso-position-vertical-relative:line" coordsize="12014,1860">
                <v:shape id="Shape 2268" style="position:absolute;width:12014;height:0;left:0;top:0;" coordsize="1201420,0" path="m0,0l1201420,0">
                  <v:stroke weight="0.72pt" endcap="flat" joinstyle="round" on="true" color="#000000"/>
                  <v:fill on="false" color="#000000" opacity="0"/>
                </v:shape>
                <v:shape id="Shape 2269" style="position:absolute;width:12014;height:0;left:0;top:1860;" coordsize="1201420,0" path="m0,0l1201420,0">
                  <v:stroke weight="0.72pt" endcap="flat" joinstyle="round" on="true" color="#000000"/>
                  <v:fill on="false" color="#000000" opacity="0"/>
                </v:shape>
              </v:group>
            </w:pict>
          </mc:Fallback>
        </mc:AlternateContent>
      </w:r>
    </w:p>
    <w:p w:rsidR="001724D5" w:rsidRDefault="00255759">
      <w:pPr>
        <w:spacing w:after="0" w:line="259" w:lineRule="auto"/>
        <w:ind w:left="0" w:right="0" w:firstLine="0"/>
        <w:jc w:val="left"/>
      </w:pPr>
      <w:r>
        <w:rPr>
          <w:rFonts w:ascii="Century Gothic" w:eastAsia="Century Gothic" w:hAnsi="Century Gothic" w:cs="Century Gothic"/>
          <w:sz w:val="20"/>
        </w:rPr>
        <w:t xml:space="preserve"> </w:t>
      </w:r>
    </w:p>
    <w:p w:rsidR="001724D5" w:rsidRDefault="00255759">
      <w:pPr>
        <w:spacing w:after="0" w:line="259" w:lineRule="auto"/>
        <w:ind w:left="0" w:right="0" w:firstLine="0"/>
        <w:jc w:val="left"/>
      </w:pPr>
      <w:r>
        <w:rPr>
          <w:rFonts w:ascii="Century Gothic" w:eastAsia="Century Gothic" w:hAnsi="Century Gothic" w:cs="Century Gothic"/>
          <w:sz w:val="20"/>
        </w:rPr>
        <w:t xml:space="preserve"> </w:t>
      </w:r>
    </w:p>
    <w:p w:rsidR="001724D5" w:rsidRDefault="00255759">
      <w:pPr>
        <w:spacing w:after="45" w:line="259" w:lineRule="auto"/>
        <w:ind w:left="0" w:right="0" w:firstLine="0"/>
        <w:jc w:val="left"/>
      </w:pPr>
      <w:r>
        <w:rPr>
          <w:rFonts w:ascii="Century Gothic" w:eastAsia="Century Gothic" w:hAnsi="Century Gothic" w:cs="Century Gothic"/>
          <w:sz w:val="20"/>
        </w:rPr>
        <w:t xml:space="preserve"> </w:t>
      </w:r>
    </w:p>
    <w:p w:rsidR="001724D5" w:rsidRDefault="00255759">
      <w:pPr>
        <w:spacing w:after="0" w:line="259" w:lineRule="auto"/>
        <w:ind w:left="0" w:right="0" w:firstLine="0"/>
        <w:jc w:val="left"/>
      </w:pPr>
      <w:r>
        <w:rPr>
          <w:rFonts w:ascii="Century Gothic" w:eastAsia="Century Gothic" w:hAnsi="Century Gothic" w:cs="Century Gothic"/>
          <w:sz w:val="26"/>
        </w:rPr>
        <w:t xml:space="preserve"> </w:t>
      </w:r>
    </w:p>
    <w:p w:rsidR="001724D5" w:rsidRDefault="00255759">
      <w:pPr>
        <w:spacing w:after="5" w:line="259" w:lineRule="auto"/>
        <w:ind w:left="6640" w:right="0"/>
        <w:jc w:val="left"/>
      </w:pPr>
      <w:r>
        <w:rPr>
          <w:rFonts w:ascii="Arial" w:eastAsia="Arial" w:hAnsi="Arial" w:cs="Arial"/>
          <w:b/>
          <w:sz w:val="20"/>
        </w:rPr>
        <w:t xml:space="preserve">BID ENVELOPE </w:t>
      </w:r>
    </w:p>
    <w:p w:rsidR="001724D5" w:rsidRDefault="00255759">
      <w:pPr>
        <w:spacing w:after="0" w:line="259" w:lineRule="auto"/>
        <w:ind w:left="0" w:right="0" w:firstLine="0"/>
        <w:jc w:val="left"/>
      </w:pPr>
      <w:r>
        <w:rPr>
          <w:rFonts w:ascii="Arial" w:eastAsia="Arial" w:hAnsi="Arial" w:cs="Arial"/>
          <w:b/>
          <w:sz w:val="20"/>
        </w:rPr>
        <w:t xml:space="preserve"> </w:t>
      </w:r>
    </w:p>
    <w:p w:rsidR="001724D5" w:rsidRDefault="00255759">
      <w:pPr>
        <w:spacing w:after="0" w:line="259" w:lineRule="auto"/>
        <w:ind w:left="6630" w:right="0" w:firstLine="0"/>
        <w:jc w:val="left"/>
      </w:pPr>
      <w:r>
        <w:rPr>
          <w:rFonts w:ascii="Arial" w:eastAsia="Arial" w:hAnsi="Arial" w:cs="Arial"/>
          <w:b/>
          <w:sz w:val="20"/>
          <w:u w:val="single" w:color="000000"/>
        </w:rPr>
        <w:t>TO BE DELIVERED TO</w:t>
      </w:r>
      <w:r>
        <w:rPr>
          <w:rFonts w:ascii="Arial" w:eastAsia="Arial" w:hAnsi="Arial" w:cs="Arial"/>
          <w:b/>
          <w:sz w:val="20"/>
        </w:rPr>
        <w:t xml:space="preserve"> </w:t>
      </w:r>
    </w:p>
    <w:p w:rsidR="001724D5" w:rsidRDefault="00255759">
      <w:pPr>
        <w:spacing w:after="0" w:line="259" w:lineRule="auto"/>
        <w:ind w:left="0" w:right="0" w:firstLine="0"/>
        <w:jc w:val="left"/>
      </w:pPr>
      <w:r>
        <w:rPr>
          <w:rFonts w:ascii="Arial" w:eastAsia="Arial" w:hAnsi="Arial" w:cs="Arial"/>
          <w:b/>
          <w:sz w:val="11"/>
        </w:rPr>
        <w:t xml:space="preserve"> </w:t>
      </w:r>
    </w:p>
    <w:p w:rsidR="001724D5" w:rsidRDefault="00255759">
      <w:pPr>
        <w:spacing w:after="74" w:line="259" w:lineRule="auto"/>
        <w:ind w:left="0" w:right="0" w:firstLine="0"/>
        <w:jc w:val="left"/>
      </w:pPr>
      <w:r>
        <w:rPr>
          <w:rFonts w:ascii="Arial" w:eastAsia="Arial" w:hAnsi="Arial" w:cs="Arial"/>
          <w:b/>
          <w:sz w:val="11"/>
        </w:rPr>
        <w:t xml:space="preserve"> </w:t>
      </w:r>
    </w:p>
    <w:p w:rsidR="001724D5" w:rsidRDefault="005B74AD">
      <w:pPr>
        <w:spacing w:after="5" w:line="259" w:lineRule="auto"/>
        <w:ind w:left="5905" w:right="0"/>
        <w:jc w:val="left"/>
      </w:pPr>
      <w:r>
        <w:rPr>
          <w:rFonts w:ascii="Arial" w:eastAsia="Arial" w:hAnsi="Arial" w:cs="Arial"/>
          <w:b/>
          <w:sz w:val="20"/>
        </w:rPr>
        <w:t>Department</w:t>
      </w:r>
      <w:r w:rsidR="00255759">
        <w:rPr>
          <w:rFonts w:ascii="Arial" w:eastAsia="Arial" w:hAnsi="Arial" w:cs="Arial"/>
          <w:b/>
          <w:sz w:val="20"/>
        </w:rPr>
        <w:t xml:space="preserve"> of Procurement </w:t>
      </w:r>
    </w:p>
    <w:p w:rsidR="001724D5" w:rsidRDefault="00255759">
      <w:pPr>
        <w:spacing w:after="5" w:line="259" w:lineRule="auto"/>
        <w:ind w:left="5905" w:right="0"/>
        <w:jc w:val="left"/>
      </w:pPr>
      <w:r>
        <w:rPr>
          <w:rFonts w:ascii="Arial" w:eastAsia="Arial" w:hAnsi="Arial" w:cs="Arial"/>
          <w:b/>
          <w:sz w:val="20"/>
        </w:rPr>
        <w:t xml:space="preserve">MONTGOMERY COUNTY PUBLIC SCHOOLS </w:t>
      </w:r>
    </w:p>
    <w:p w:rsidR="001724D5" w:rsidRDefault="00255759">
      <w:pPr>
        <w:spacing w:after="5" w:line="259" w:lineRule="auto"/>
        <w:ind w:left="5905" w:right="0"/>
        <w:jc w:val="left"/>
      </w:pPr>
      <w:r>
        <w:rPr>
          <w:rFonts w:ascii="Arial" w:eastAsia="Arial" w:hAnsi="Arial" w:cs="Arial"/>
          <w:b/>
          <w:sz w:val="20"/>
        </w:rPr>
        <w:t xml:space="preserve">45 West Gude Drive, Suite 3100 </w:t>
      </w:r>
    </w:p>
    <w:p w:rsidR="001724D5" w:rsidRDefault="00255759">
      <w:pPr>
        <w:spacing w:after="5" w:line="259" w:lineRule="auto"/>
        <w:ind w:left="5905" w:right="0"/>
        <w:jc w:val="left"/>
      </w:pPr>
      <w:r>
        <w:rPr>
          <w:rFonts w:ascii="Arial" w:eastAsia="Arial" w:hAnsi="Arial" w:cs="Arial"/>
          <w:b/>
          <w:sz w:val="20"/>
        </w:rPr>
        <w:t xml:space="preserve">Rockville, MD 20850-9999 </w:t>
      </w:r>
    </w:p>
    <w:p w:rsidR="001724D5" w:rsidRDefault="00255759">
      <w:pPr>
        <w:spacing w:after="0" w:line="259" w:lineRule="auto"/>
        <w:ind w:left="1748" w:right="0" w:firstLine="0"/>
        <w:jc w:val="center"/>
      </w:pPr>
      <w:r>
        <w:rPr>
          <w:rFonts w:ascii="Arial" w:eastAsia="Arial" w:hAnsi="Arial" w:cs="Arial"/>
          <w:b/>
          <w:sz w:val="20"/>
        </w:rPr>
        <w:t xml:space="preserve"> </w:t>
      </w:r>
    </w:p>
    <w:p w:rsidR="001724D5" w:rsidRDefault="00255759">
      <w:pPr>
        <w:spacing w:after="17" w:line="259" w:lineRule="auto"/>
        <w:ind w:left="0" w:right="0" w:firstLine="0"/>
        <w:jc w:val="left"/>
      </w:pPr>
      <w:r>
        <w:rPr>
          <w:b/>
          <w:sz w:val="20"/>
        </w:rPr>
        <w:t xml:space="preserve"> </w:t>
      </w:r>
    </w:p>
    <w:p w:rsidR="001724D5" w:rsidRDefault="00255759">
      <w:pPr>
        <w:spacing w:after="40" w:line="259" w:lineRule="auto"/>
        <w:ind w:left="0" w:right="0" w:firstLine="0"/>
        <w:jc w:val="left"/>
      </w:pPr>
      <w:r>
        <w:rPr>
          <w:b/>
          <w:sz w:val="23"/>
        </w:rPr>
        <w:t xml:space="preserve"> </w:t>
      </w:r>
    </w:p>
    <w:p w:rsidR="001724D5" w:rsidRDefault="00255759">
      <w:pPr>
        <w:tabs>
          <w:tab w:val="center" w:pos="885"/>
          <w:tab w:val="center" w:pos="2312"/>
        </w:tabs>
        <w:spacing w:after="5" w:line="259" w:lineRule="auto"/>
        <w:ind w:left="0" w:right="0" w:firstLine="0"/>
        <w:jc w:val="left"/>
      </w:pPr>
      <w:r>
        <w:rPr>
          <w:rFonts w:ascii="Calibri" w:eastAsia="Calibri" w:hAnsi="Calibri" w:cs="Calibri"/>
          <w:sz w:val="22"/>
        </w:rPr>
        <w:tab/>
      </w:r>
      <w:r>
        <w:rPr>
          <w:rFonts w:ascii="Arial" w:eastAsia="Arial" w:hAnsi="Arial" w:cs="Arial"/>
          <w:b/>
          <w:sz w:val="20"/>
        </w:rPr>
        <w:t>BID NO.</w:t>
      </w:r>
      <w:r>
        <w:rPr>
          <w:rFonts w:ascii="Arial" w:eastAsia="Arial" w:hAnsi="Arial" w:cs="Arial"/>
          <w:b/>
          <w:sz w:val="20"/>
          <w:u w:val="single" w:color="000000"/>
        </w:rPr>
        <w:t xml:space="preserve">  </w:t>
      </w:r>
      <w:r>
        <w:rPr>
          <w:rFonts w:ascii="Arial" w:eastAsia="Arial" w:hAnsi="Arial" w:cs="Arial"/>
          <w:b/>
          <w:sz w:val="20"/>
          <w:u w:val="single" w:color="000000"/>
        </w:rPr>
        <w:tab/>
      </w:r>
      <w:r>
        <w:rPr>
          <w:rFonts w:ascii="Arial" w:eastAsia="Arial" w:hAnsi="Arial" w:cs="Arial"/>
          <w:b/>
          <w:sz w:val="20"/>
        </w:rPr>
        <w:t xml:space="preserve"> </w:t>
      </w:r>
    </w:p>
    <w:p w:rsidR="001724D5" w:rsidRDefault="00255759">
      <w:pPr>
        <w:tabs>
          <w:tab w:val="center" w:pos="1000"/>
          <w:tab w:val="center" w:pos="2312"/>
        </w:tabs>
        <w:spacing w:after="5" w:line="259" w:lineRule="auto"/>
        <w:ind w:left="0" w:right="0" w:firstLine="0"/>
        <w:jc w:val="left"/>
      </w:pPr>
      <w:r>
        <w:rPr>
          <w:rFonts w:ascii="Calibri" w:eastAsia="Calibri" w:hAnsi="Calibri" w:cs="Calibri"/>
          <w:sz w:val="22"/>
        </w:rPr>
        <w:tab/>
      </w:r>
      <w:r>
        <w:rPr>
          <w:rFonts w:ascii="Arial" w:eastAsia="Arial" w:hAnsi="Arial" w:cs="Arial"/>
          <w:b/>
          <w:sz w:val="20"/>
        </w:rPr>
        <w:t xml:space="preserve">BID NAME </w:t>
      </w:r>
      <w:r>
        <w:rPr>
          <w:rFonts w:ascii="Arial" w:eastAsia="Arial" w:hAnsi="Arial" w:cs="Arial"/>
          <w:b/>
          <w:sz w:val="20"/>
          <w:u w:val="single" w:color="000000"/>
        </w:rPr>
        <w:t xml:space="preserve">  </w:t>
      </w:r>
      <w:r>
        <w:rPr>
          <w:rFonts w:ascii="Arial" w:eastAsia="Arial" w:hAnsi="Arial" w:cs="Arial"/>
          <w:b/>
          <w:sz w:val="20"/>
          <w:u w:val="single" w:color="000000"/>
        </w:rPr>
        <w:tab/>
        <w:t xml:space="preserve"> </w:t>
      </w:r>
      <w:r>
        <w:rPr>
          <w:rFonts w:ascii="Arial" w:eastAsia="Arial" w:hAnsi="Arial" w:cs="Arial"/>
          <w:b/>
          <w:sz w:val="20"/>
        </w:rPr>
        <w:t xml:space="preserve"> </w:t>
      </w:r>
    </w:p>
    <w:p w:rsidR="001724D5" w:rsidRDefault="00255759">
      <w:pPr>
        <w:tabs>
          <w:tab w:val="center" w:pos="1267"/>
          <w:tab w:val="center" w:pos="3559"/>
          <w:tab w:val="center" w:pos="5041"/>
        </w:tabs>
        <w:spacing w:after="5" w:line="259" w:lineRule="auto"/>
        <w:ind w:left="0" w:right="0" w:firstLine="0"/>
        <w:jc w:val="left"/>
      </w:pPr>
      <w:r>
        <w:rPr>
          <w:rFonts w:ascii="Calibri" w:eastAsia="Calibri" w:hAnsi="Calibri" w:cs="Calibri"/>
          <w:sz w:val="22"/>
        </w:rPr>
        <w:tab/>
      </w:r>
      <w:r>
        <w:rPr>
          <w:rFonts w:ascii="Arial" w:eastAsia="Arial" w:hAnsi="Arial" w:cs="Arial"/>
          <w:b/>
          <w:sz w:val="20"/>
        </w:rPr>
        <w:t xml:space="preserve">OPENING </w:t>
      </w:r>
      <w:proofErr w:type="gramStart"/>
      <w:r>
        <w:rPr>
          <w:rFonts w:ascii="Arial" w:eastAsia="Arial" w:hAnsi="Arial" w:cs="Arial"/>
          <w:b/>
          <w:sz w:val="20"/>
        </w:rPr>
        <w:t>DATE</w:t>
      </w:r>
      <w:r>
        <w:rPr>
          <w:rFonts w:ascii="Arial" w:eastAsia="Arial" w:hAnsi="Arial" w:cs="Arial"/>
          <w:b/>
          <w:sz w:val="20"/>
          <w:u w:val="single" w:color="000000"/>
        </w:rPr>
        <w:t xml:space="preserve">  </w:t>
      </w:r>
      <w:r>
        <w:rPr>
          <w:rFonts w:ascii="Arial" w:eastAsia="Arial" w:hAnsi="Arial" w:cs="Arial"/>
          <w:b/>
          <w:sz w:val="20"/>
          <w:u w:val="single" w:color="000000"/>
        </w:rPr>
        <w:tab/>
      </w:r>
      <w:proofErr w:type="gramEnd"/>
      <w:r>
        <w:rPr>
          <w:rFonts w:ascii="Arial" w:eastAsia="Arial" w:hAnsi="Arial" w:cs="Arial"/>
          <w:b/>
          <w:sz w:val="20"/>
        </w:rPr>
        <w:t xml:space="preserve"> OPENING TIME </w:t>
      </w:r>
      <w:r>
        <w:rPr>
          <w:rFonts w:ascii="Arial" w:eastAsia="Arial" w:hAnsi="Arial" w:cs="Arial"/>
          <w:b/>
          <w:sz w:val="20"/>
          <w:u w:val="single" w:color="000000"/>
        </w:rPr>
        <w:t xml:space="preserve">  </w:t>
      </w:r>
      <w:r>
        <w:rPr>
          <w:rFonts w:ascii="Arial" w:eastAsia="Arial" w:hAnsi="Arial" w:cs="Arial"/>
          <w:b/>
          <w:sz w:val="20"/>
          <w:u w:val="single" w:color="000000"/>
        </w:rPr>
        <w:tab/>
      </w:r>
      <w:r>
        <w:rPr>
          <w:rFonts w:ascii="Arial" w:eastAsia="Arial" w:hAnsi="Arial" w:cs="Arial"/>
          <w:b/>
          <w:sz w:val="20"/>
        </w:rPr>
        <w:t xml:space="preserve"> </w:t>
      </w:r>
    </w:p>
    <w:p w:rsidR="001724D5" w:rsidRDefault="00255759">
      <w:pPr>
        <w:spacing w:after="0" w:line="259" w:lineRule="auto"/>
        <w:ind w:left="0" w:right="0" w:firstLine="0"/>
        <w:jc w:val="left"/>
      </w:pPr>
      <w:r>
        <w:rPr>
          <w:rFonts w:ascii="Arial" w:eastAsia="Arial" w:hAnsi="Arial" w:cs="Arial"/>
          <w:b/>
          <w:sz w:val="20"/>
        </w:rPr>
        <w:t xml:space="preserve"> </w:t>
      </w:r>
    </w:p>
    <w:p w:rsidR="001724D5" w:rsidRDefault="00255759">
      <w:pPr>
        <w:spacing w:after="0" w:line="259" w:lineRule="auto"/>
        <w:ind w:left="0" w:right="0" w:firstLine="0"/>
        <w:jc w:val="left"/>
      </w:pPr>
      <w:r>
        <w:rPr>
          <w:rFonts w:ascii="Arial" w:eastAsia="Arial" w:hAnsi="Arial" w:cs="Arial"/>
          <w:b/>
          <w:sz w:val="17"/>
        </w:rPr>
        <w:t xml:space="preserve"> </w:t>
      </w:r>
    </w:p>
    <w:p w:rsidR="001724D5" w:rsidRDefault="00255759">
      <w:pPr>
        <w:spacing w:after="27" w:line="259" w:lineRule="auto"/>
        <w:ind w:left="504" w:right="-459" w:firstLine="0"/>
        <w:jc w:val="left"/>
      </w:pPr>
      <w:r>
        <w:rPr>
          <w:rFonts w:ascii="Calibri" w:eastAsia="Calibri" w:hAnsi="Calibri" w:cs="Calibri"/>
          <w:noProof/>
          <w:sz w:val="22"/>
        </w:rPr>
        <mc:AlternateContent>
          <mc:Choice Requires="wpg">
            <w:drawing>
              <wp:inline distT="0" distB="0" distL="0" distR="0">
                <wp:extent cx="6402070" cy="15240"/>
                <wp:effectExtent l="0" t="0" r="0" b="0"/>
                <wp:docPr id="14079" name="Group 14079"/>
                <wp:cNvGraphicFramePr/>
                <a:graphic xmlns:a="http://schemas.openxmlformats.org/drawingml/2006/main">
                  <a:graphicData uri="http://schemas.microsoft.com/office/word/2010/wordprocessingGroup">
                    <wpg:wgp>
                      <wpg:cNvGrpSpPr/>
                      <wpg:grpSpPr>
                        <a:xfrm>
                          <a:off x="0" y="0"/>
                          <a:ext cx="6402070" cy="15240"/>
                          <a:chOff x="0" y="0"/>
                          <a:chExt cx="6402070" cy="15240"/>
                        </a:xfrm>
                      </wpg:grpSpPr>
                      <wps:wsp>
                        <wps:cNvPr id="2270" name="Shape 2270"/>
                        <wps:cNvSpPr/>
                        <wps:spPr>
                          <a:xfrm>
                            <a:off x="0" y="0"/>
                            <a:ext cx="6402070" cy="0"/>
                          </a:xfrm>
                          <a:custGeom>
                            <a:avLst/>
                            <a:gdLst/>
                            <a:ahLst/>
                            <a:cxnLst/>
                            <a:rect l="0" t="0" r="0" b="0"/>
                            <a:pathLst>
                              <a:path w="6402070">
                                <a:moveTo>
                                  <a:pt x="0" y="0"/>
                                </a:moveTo>
                                <a:lnTo>
                                  <a:pt x="6402070" y="0"/>
                                </a:lnTo>
                              </a:path>
                            </a:pathLst>
                          </a:custGeom>
                          <a:ln w="1524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79" style="width:504.1pt;height:1.2pt;mso-position-horizontal-relative:char;mso-position-vertical-relative:line" coordsize="64020,152">
                <v:shape id="Shape 2270" style="position:absolute;width:64020;height:0;left:0;top:0;" coordsize="6402070,0" path="m0,0l6402070,0">
                  <v:stroke weight="1.2pt" endcap="flat" joinstyle="round" on="true" color="#000000"/>
                  <v:fill on="false" color="#000000" opacity="0"/>
                </v:shape>
              </v:group>
            </w:pict>
          </mc:Fallback>
        </mc:AlternateContent>
      </w:r>
    </w:p>
    <w:p w:rsidR="001724D5" w:rsidRDefault="00255759">
      <w:pPr>
        <w:spacing w:after="0" w:line="259" w:lineRule="auto"/>
        <w:ind w:left="0" w:right="0" w:firstLine="0"/>
        <w:jc w:val="left"/>
      </w:pPr>
      <w:r>
        <w:rPr>
          <w:rFonts w:ascii="Arial" w:eastAsia="Arial" w:hAnsi="Arial" w:cs="Arial"/>
          <w:b/>
          <w:sz w:val="20"/>
        </w:rPr>
        <w:t xml:space="preserve"> </w:t>
      </w:r>
    </w:p>
    <w:p w:rsidR="001724D5" w:rsidRDefault="00255759">
      <w:pPr>
        <w:spacing w:after="14" w:line="259" w:lineRule="auto"/>
        <w:ind w:left="0" w:right="0" w:firstLine="0"/>
        <w:jc w:val="left"/>
      </w:pPr>
      <w:r>
        <w:rPr>
          <w:rFonts w:ascii="Arial" w:eastAsia="Arial" w:hAnsi="Arial" w:cs="Arial"/>
          <w:b/>
          <w:sz w:val="20"/>
        </w:rPr>
        <w:t xml:space="preserve"> </w:t>
      </w:r>
    </w:p>
    <w:p w:rsidR="001724D5" w:rsidRDefault="00255759">
      <w:pPr>
        <w:spacing w:after="0" w:line="259" w:lineRule="auto"/>
        <w:ind w:left="0" w:right="0" w:firstLine="0"/>
        <w:jc w:val="left"/>
      </w:pPr>
      <w:r>
        <w:rPr>
          <w:rFonts w:ascii="Arial" w:eastAsia="Arial" w:hAnsi="Arial" w:cs="Arial"/>
          <w:b/>
          <w:sz w:val="23"/>
        </w:rPr>
        <w:t xml:space="preserve"> </w:t>
      </w:r>
    </w:p>
    <w:p w:rsidR="001724D5" w:rsidRDefault="00255759">
      <w:pPr>
        <w:spacing w:after="5" w:line="236" w:lineRule="auto"/>
        <w:ind w:left="1157" w:right="139" w:firstLine="0"/>
        <w:jc w:val="center"/>
      </w:pPr>
      <w:r>
        <w:rPr>
          <w:sz w:val="22"/>
        </w:rPr>
        <w:t xml:space="preserve">Vendor name and address must appear on the upper </w:t>
      </w:r>
      <w:proofErr w:type="gramStart"/>
      <w:r>
        <w:rPr>
          <w:sz w:val="22"/>
        </w:rPr>
        <w:t>left hand</w:t>
      </w:r>
      <w:proofErr w:type="gramEnd"/>
      <w:r>
        <w:rPr>
          <w:sz w:val="22"/>
        </w:rPr>
        <w:t xml:space="preserve"> corner of the bid envelope. The specific bid number, opening date, and time must appear in the lower </w:t>
      </w:r>
      <w:proofErr w:type="gramStart"/>
      <w:r>
        <w:rPr>
          <w:sz w:val="22"/>
        </w:rPr>
        <w:t>left hand</w:t>
      </w:r>
      <w:proofErr w:type="gramEnd"/>
      <w:r>
        <w:rPr>
          <w:sz w:val="22"/>
        </w:rPr>
        <w:t xml:space="preserve"> corner of the bid envelope. </w:t>
      </w:r>
    </w:p>
    <w:p w:rsidR="001724D5" w:rsidRDefault="00255759">
      <w:pPr>
        <w:spacing w:after="0" w:line="259" w:lineRule="auto"/>
        <w:ind w:left="2098" w:right="0" w:firstLine="0"/>
        <w:jc w:val="left"/>
      </w:pPr>
      <w:r>
        <w:rPr>
          <w:sz w:val="22"/>
        </w:rPr>
        <w:t xml:space="preserve">It is suggested that vendors utilize a tracking service to insure prompt delivery. </w:t>
      </w:r>
    </w:p>
    <w:sectPr w:rsidR="001724D5">
      <w:pgSz w:w="12240" w:h="15840"/>
      <w:pgMar w:top="1440" w:right="1609" w:bottom="1440"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9342A"/>
    <w:multiLevelType w:val="hybridMultilevel"/>
    <w:tmpl w:val="C4A8FED4"/>
    <w:lvl w:ilvl="0" w:tplc="C8200502">
      <w:start w:val="1"/>
      <w:numFmt w:val="decimal"/>
      <w:lvlText w:val="%1."/>
      <w:lvlJc w:val="left"/>
      <w:pPr>
        <w:ind w:left="67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A142D7A6">
      <w:start w:val="1"/>
      <w:numFmt w:val="lowerLetter"/>
      <w:lvlText w:val="%2"/>
      <w:lvlJc w:val="left"/>
      <w:pPr>
        <w:ind w:left="139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79F4061C">
      <w:start w:val="1"/>
      <w:numFmt w:val="lowerRoman"/>
      <w:lvlText w:val="%3"/>
      <w:lvlJc w:val="left"/>
      <w:pPr>
        <w:ind w:left="211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74C202A">
      <w:start w:val="1"/>
      <w:numFmt w:val="decimal"/>
      <w:lvlText w:val="%4"/>
      <w:lvlJc w:val="left"/>
      <w:pPr>
        <w:ind w:left="283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3D1A6A10">
      <w:start w:val="1"/>
      <w:numFmt w:val="lowerLetter"/>
      <w:lvlText w:val="%5"/>
      <w:lvlJc w:val="left"/>
      <w:pPr>
        <w:ind w:left="355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82E4854">
      <w:start w:val="1"/>
      <w:numFmt w:val="lowerRoman"/>
      <w:lvlText w:val="%6"/>
      <w:lvlJc w:val="left"/>
      <w:pPr>
        <w:ind w:left="427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293C5160">
      <w:start w:val="1"/>
      <w:numFmt w:val="decimal"/>
      <w:lvlText w:val="%7"/>
      <w:lvlJc w:val="left"/>
      <w:pPr>
        <w:ind w:left="499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66EE551A">
      <w:start w:val="1"/>
      <w:numFmt w:val="lowerLetter"/>
      <w:lvlText w:val="%8"/>
      <w:lvlJc w:val="left"/>
      <w:pPr>
        <w:ind w:left="571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5C06544">
      <w:start w:val="1"/>
      <w:numFmt w:val="lowerRoman"/>
      <w:lvlText w:val="%9"/>
      <w:lvlJc w:val="left"/>
      <w:pPr>
        <w:ind w:left="643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65D02E5"/>
    <w:multiLevelType w:val="hybridMultilevel"/>
    <w:tmpl w:val="511AA2D0"/>
    <w:lvl w:ilvl="0" w:tplc="72082434">
      <w:start w:val="2"/>
      <w:numFmt w:val="upperLetter"/>
      <w:lvlText w:val="%1."/>
      <w:lvlJc w:val="left"/>
      <w:pPr>
        <w:ind w:left="166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4B74F37E">
      <w:start w:val="1"/>
      <w:numFmt w:val="lowerLetter"/>
      <w:lvlText w:val="%2"/>
      <w:lvlJc w:val="left"/>
      <w:pPr>
        <w:ind w:left="238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F39E7C68">
      <w:start w:val="1"/>
      <w:numFmt w:val="lowerRoman"/>
      <w:lvlText w:val="%3"/>
      <w:lvlJc w:val="left"/>
      <w:pPr>
        <w:ind w:left="310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31B8D00A">
      <w:start w:val="1"/>
      <w:numFmt w:val="decimal"/>
      <w:lvlText w:val="%4"/>
      <w:lvlJc w:val="left"/>
      <w:pPr>
        <w:ind w:left="382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99084034">
      <w:start w:val="1"/>
      <w:numFmt w:val="lowerLetter"/>
      <w:lvlText w:val="%5"/>
      <w:lvlJc w:val="left"/>
      <w:pPr>
        <w:ind w:left="454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8E6F966">
      <w:start w:val="1"/>
      <w:numFmt w:val="lowerRoman"/>
      <w:lvlText w:val="%6"/>
      <w:lvlJc w:val="left"/>
      <w:pPr>
        <w:ind w:left="526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754A1232">
      <w:start w:val="1"/>
      <w:numFmt w:val="decimal"/>
      <w:lvlText w:val="%7"/>
      <w:lvlJc w:val="left"/>
      <w:pPr>
        <w:ind w:left="598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59465C28">
      <w:start w:val="1"/>
      <w:numFmt w:val="lowerLetter"/>
      <w:lvlText w:val="%8"/>
      <w:lvlJc w:val="left"/>
      <w:pPr>
        <w:ind w:left="670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077EDC08">
      <w:start w:val="1"/>
      <w:numFmt w:val="lowerRoman"/>
      <w:lvlText w:val="%9"/>
      <w:lvlJc w:val="left"/>
      <w:pPr>
        <w:ind w:left="742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0C6741A"/>
    <w:multiLevelType w:val="hybridMultilevel"/>
    <w:tmpl w:val="C3D8E2CA"/>
    <w:lvl w:ilvl="0" w:tplc="F7B0AE42">
      <w:start w:val="1"/>
      <w:numFmt w:val="upperLetter"/>
      <w:lvlText w:val="%1."/>
      <w:lvlJc w:val="left"/>
      <w:pPr>
        <w:ind w:left="67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939A2580">
      <w:start w:val="1"/>
      <w:numFmt w:val="lowerLetter"/>
      <w:lvlText w:val="%2"/>
      <w:lvlJc w:val="left"/>
      <w:pPr>
        <w:ind w:left="139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0C80FF3E">
      <w:start w:val="1"/>
      <w:numFmt w:val="lowerRoman"/>
      <w:lvlText w:val="%3"/>
      <w:lvlJc w:val="left"/>
      <w:pPr>
        <w:ind w:left="211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B43274B8">
      <w:start w:val="1"/>
      <w:numFmt w:val="decimal"/>
      <w:lvlText w:val="%4"/>
      <w:lvlJc w:val="left"/>
      <w:pPr>
        <w:ind w:left="283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38E403CA">
      <w:start w:val="1"/>
      <w:numFmt w:val="lowerLetter"/>
      <w:lvlText w:val="%5"/>
      <w:lvlJc w:val="left"/>
      <w:pPr>
        <w:ind w:left="355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C49ADDCE">
      <w:start w:val="1"/>
      <w:numFmt w:val="lowerRoman"/>
      <w:lvlText w:val="%6"/>
      <w:lvlJc w:val="left"/>
      <w:pPr>
        <w:ind w:left="427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B04E3C1A">
      <w:start w:val="1"/>
      <w:numFmt w:val="decimal"/>
      <w:lvlText w:val="%7"/>
      <w:lvlJc w:val="left"/>
      <w:pPr>
        <w:ind w:left="499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06D0A554">
      <w:start w:val="1"/>
      <w:numFmt w:val="lowerLetter"/>
      <w:lvlText w:val="%8"/>
      <w:lvlJc w:val="left"/>
      <w:pPr>
        <w:ind w:left="571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0F7E9178">
      <w:start w:val="1"/>
      <w:numFmt w:val="lowerRoman"/>
      <w:lvlText w:val="%9"/>
      <w:lvlJc w:val="left"/>
      <w:pPr>
        <w:ind w:left="643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6DE2342C"/>
    <w:multiLevelType w:val="hybridMultilevel"/>
    <w:tmpl w:val="6F94E2B6"/>
    <w:lvl w:ilvl="0" w:tplc="EEE2D3A8">
      <w:start w:val="1"/>
      <w:numFmt w:val="decimal"/>
      <w:lvlText w:val="(%1)"/>
      <w:lvlJc w:val="left"/>
      <w:pPr>
        <w:ind w:left="45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74C29EF2">
      <w:start w:val="1"/>
      <w:numFmt w:val="lowerLetter"/>
      <w:lvlText w:val="%2"/>
      <w:lvlJc w:val="left"/>
      <w:pPr>
        <w:ind w:left="152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20E45074">
      <w:start w:val="1"/>
      <w:numFmt w:val="lowerRoman"/>
      <w:lvlText w:val="%3"/>
      <w:lvlJc w:val="left"/>
      <w:pPr>
        <w:ind w:left="224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AC6960A">
      <w:start w:val="1"/>
      <w:numFmt w:val="decimal"/>
      <w:lvlText w:val="%4"/>
      <w:lvlJc w:val="left"/>
      <w:pPr>
        <w:ind w:left="296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8FD444A8">
      <w:start w:val="1"/>
      <w:numFmt w:val="lowerLetter"/>
      <w:lvlText w:val="%5"/>
      <w:lvlJc w:val="left"/>
      <w:pPr>
        <w:ind w:left="368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47B8AA8E">
      <w:start w:val="1"/>
      <w:numFmt w:val="lowerRoman"/>
      <w:lvlText w:val="%6"/>
      <w:lvlJc w:val="left"/>
      <w:pPr>
        <w:ind w:left="440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83E8FE86">
      <w:start w:val="1"/>
      <w:numFmt w:val="decimal"/>
      <w:lvlText w:val="%7"/>
      <w:lvlJc w:val="left"/>
      <w:pPr>
        <w:ind w:left="512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F1F02582">
      <w:start w:val="1"/>
      <w:numFmt w:val="lowerLetter"/>
      <w:lvlText w:val="%8"/>
      <w:lvlJc w:val="left"/>
      <w:pPr>
        <w:ind w:left="584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6D00254C">
      <w:start w:val="1"/>
      <w:numFmt w:val="lowerRoman"/>
      <w:lvlText w:val="%9"/>
      <w:lvlJc w:val="left"/>
      <w:pPr>
        <w:ind w:left="6567"/>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77CD36F8"/>
    <w:multiLevelType w:val="hybridMultilevel"/>
    <w:tmpl w:val="3062A406"/>
    <w:lvl w:ilvl="0" w:tplc="037C0982">
      <w:start w:val="1"/>
      <w:numFmt w:val="upperLetter"/>
      <w:lvlText w:val="%1."/>
      <w:lvlJc w:val="left"/>
      <w:pPr>
        <w:ind w:left="12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39A03E2E">
      <w:start w:val="1"/>
      <w:numFmt w:val="lowerLetter"/>
      <w:lvlText w:val="%2"/>
      <w:lvlJc w:val="left"/>
      <w:pPr>
        <w:ind w:left="202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D8A619A0">
      <w:start w:val="1"/>
      <w:numFmt w:val="lowerRoman"/>
      <w:lvlText w:val="%3"/>
      <w:lvlJc w:val="left"/>
      <w:pPr>
        <w:ind w:left="274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6076FAC2">
      <w:start w:val="1"/>
      <w:numFmt w:val="decimal"/>
      <w:lvlText w:val="%4"/>
      <w:lvlJc w:val="left"/>
      <w:pPr>
        <w:ind w:left="346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A734ECF0">
      <w:start w:val="1"/>
      <w:numFmt w:val="lowerLetter"/>
      <w:lvlText w:val="%5"/>
      <w:lvlJc w:val="left"/>
      <w:pPr>
        <w:ind w:left="418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4824FF04">
      <w:start w:val="1"/>
      <w:numFmt w:val="lowerRoman"/>
      <w:lvlText w:val="%6"/>
      <w:lvlJc w:val="left"/>
      <w:pPr>
        <w:ind w:left="490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C5A60EA0">
      <w:start w:val="1"/>
      <w:numFmt w:val="decimal"/>
      <w:lvlText w:val="%7"/>
      <w:lvlJc w:val="left"/>
      <w:pPr>
        <w:ind w:left="562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57E43E50">
      <w:start w:val="1"/>
      <w:numFmt w:val="lowerLetter"/>
      <w:lvlText w:val="%8"/>
      <w:lvlJc w:val="left"/>
      <w:pPr>
        <w:ind w:left="634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F4285F28">
      <w:start w:val="1"/>
      <w:numFmt w:val="lowerRoman"/>
      <w:lvlText w:val="%9"/>
      <w:lvlJc w:val="left"/>
      <w:pPr>
        <w:ind w:left="706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7AED28A2"/>
    <w:multiLevelType w:val="hybridMultilevel"/>
    <w:tmpl w:val="F70ABFFA"/>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4D5"/>
    <w:rsid w:val="001724D5"/>
    <w:rsid w:val="00255759"/>
    <w:rsid w:val="00351518"/>
    <w:rsid w:val="003659E3"/>
    <w:rsid w:val="00584401"/>
    <w:rsid w:val="005B74AD"/>
    <w:rsid w:val="006B69CC"/>
    <w:rsid w:val="0076203B"/>
    <w:rsid w:val="007E0552"/>
    <w:rsid w:val="00853EA6"/>
    <w:rsid w:val="00953770"/>
    <w:rsid w:val="00CA6EF1"/>
    <w:rsid w:val="00DF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C54E94-EE42-48C5-9C32-01553026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951" w:right="97" w:hanging="10"/>
      <w:jc w:val="both"/>
    </w:pPr>
    <w:rPr>
      <w:rFonts w:ascii="Times New Roman" w:eastAsia="Times New Roman" w:hAnsi="Times New Roman" w:cs="Times New Roman"/>
      <w:color w:val="000000"/>
      <w:sz w:val="16"/>
    </w:rPr>
  </w:style>
  <w:style w:type="paragraph" w:styleId="Heading1">
    <w:name w:val="heading 1"/>
    <w:next w:val="Normal"/>
    <w:link w:val="Heading1Char"/>
    <w:uiPriority w:val="9"/>
    <w:qFormat/>
    <w:pPr>
      <w:keepNext/>
      <w:keepLines/>
      <w:spacing w:after="0"/>
      <w:ind w:left="30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51" w:line="249" w:lineRule="auto"/>
      <w:ind w:left="51" w:hanging="10"/>
      <w:jc w:val="both"/>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8"/>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584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401"/>
    <w:rPr>
      <w:rFonts w:ascii="Segoe UI" w:eastAsia="Times New Roman" w:hAnsi="Segoe UI" w:cs="Segoe UI"/>
      <w:color w:val="000000"/>
      <w:sz w:val="18"/>
      <w:szCs w:val="18"/>
    </w:rPr>
  </w:style>
  <w:style w:type="paragraph" w:styleId="ListParagraph">
    <w:name w:val="List Paragraph"/>
    <w:basedOn w:val="Normal"/>
    <w:uiPriority w:val="34"/>
    <w:qFormat/>
    <w:rsid w:val="00953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4183</Words>
  <Characters>21812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THE BOARD OF EDUCATION OF MONTGOMERY COUNTY</vt:lpstr>
    </vt:vector>
  </TitlesOfParts>
  <Company>MCPS</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MONTGOMERY COUNTY</dc:title>
  <dc:subject/>
  <dc:creator>MCPS</dc:creator>
  <cp:keywords/>
  <cp:lastModifiedBy>Redman, Joey</cp:lastModifiedBy>
  <cp:revision>2</cp:revision>
  <cp:lastPrinted>2026-01-08T19:29:00Z</cp:lastPrinted>
  <dcterms:created xsi:type="dcterms:W3CDTF">2026-01-08T19:30:00Z</dcterms:created>
  <dcterms:modified xsi:type="dcterms:W3CDTF">2026-01-08T19:30:00Z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a12705a3-812a-4dc8-a2ea-93448935247b</vt:lpwstr>
  </property>
</Properties>
</file>